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ADB2" w14:textId="77777777" w:rsidR="00E27304" w:rsidRPr="00D0056D" w:rsidRDefault="00E27304" w:rsidP="00464740">
      <w:pPr>
        <w:spacing w:line="240" w:lineRule="auto"/>
        <w:rPr>
          <w:rFonts w:cs="Times New Roman"/>
          <w:szCs w:val="24"/>
        </w:rPr>
      </w:pPr>
      <w:r w:rsidRPr="00D0056D">
        <w:rPr>
          <w:rFonts w:cs="Times New Roman"/>
          <w:szCs w:val="24"/>
        </w:rPr>
        <w:t>Chairman Chaney</w:t>
      </w:r>
    </w:p>
    <w:p w14:paraId="15BA71B7" w14:textId="77777777" w:rsidR="00E27304" w:rsidRPr="00D0056D" w:rsidRDefault="00E27304" w:rsidP="00464740">
      <w:pPr>
        <w:spacing w:line="240" w:lineRule="auto"/>
        <w:rPr>
          <w:rFonts w:cs="Times New Roman"/>
          <w:szCs w:val="24"/>
        </w:rPr>
      </w:pPr>
      <w:r w:rsidRPr="00D0056D">
        <w:rPr>
          <w:rFonts w:cs="Times New Roman"/>
          <w:szCs w:val="24"/>
        </w:rPr>
        <w:t>Committee Members</w:t>
      </w:r>
    </w:p>
    <w:p w14:paraId="2CA92A1C" w14:textId="77777777" w:rsidR="00E27304" w:rsidRDefault="00E27304" w:rsidP="00464740">
      <w:pPr>
        <w:spacing w:line="240" w:lineRule="auto"/>
        <w:rPr>
          <w:rFonts w:cs="Times New Roman"/>
          <w:szCs w:val="24"/>
        </w:rPr>
      </w:pPr>
      <w:r w:rsidRPr="00D0056D">
        <w:rPr>
          <w:rFonts w:cs="Times New Roman"/>
          <w:szCs w:val="24"/>
        </w:rPr>
        <w:t>House Judiciary, Rules and Administration Committee</w:t>
      </w:r>
    </w:p>
    <w:p w14:paraId="70C14996" w14:textId="77777777" w:rsidR="00464740" w:rsidRPr="00D0056D" w:rsidRDefault="00464740" w:rsidP="00464740">
      <w:pPr>
        <w:spacing w:line="240" w:lineRule="auto"/>
        <w:rPr>
          <w:rFonts w:cs="Times New Roman"/>
          <w:szCs w:val="24"/>
        </w:rPr>
      </w:pPr>
    </w:p>
    <w:p w14:paraId="42310264" w14:textId="77777777" w:rsidR="00E27304" w:rsidRPr="00D0056D" w:rsidRDefault="00E27304" w:rsidP="00E27304">
      <w:pPr>
        <w:ind w:left="1260" w:right="720" w:hanging="540"/>
        <w:rPr>
          <w:rFonts w:cs="Times New Roman"/>
          <w:szCs w:val="24"/>
        </w:rPr>
      </w:pPr>
      <w:r w:rsidRPr="00D0056D">
        <w:rPr>
          <w:rFonts w:cs="Times New Roman"/>
          <w:b/>
          <w:szCs w:val="24"/>
        </w:rPr>
        <w:t>RE:  Public Defense Commission (PDC) IDAPA Rules</w:t>
      </w:r>
      <w:r w:rsidR="008B60AE">
        <w:rPr>
          <w:rFonts w:cs="Times New Roman"/>
          <w:b/>
          <w:szCs w:val="24"/>
        </w:rPr>
        <w:t xml:space="preserve"> </w:t>
      </w:r>
      <w:r w:rsidR="008B60AE" w:rsidRPr="008B60AE">
        <w:rPr>
          <w:rFonts w:cs="Times New Roman"/>
          <w:b/>
          <w:szCs w:val="24"/>
        </w:rPr>
        <w:t>(Rules)</w:t>
      </w:r>
      <w:r w:rsidR="008B60AE">
        <w:rPr>
          <w:rFonts w:cs="Times New Roman"/>
          <w:szCs w:val="24"/>
        </w:rPr>
        <w:t xml:space="preserve"> </w:t>
      </w:r>
      <w:r w:rsidRPr="00D0056D">
        <w:rPr>
          <w:rFonts w:cs="Times New Roman"/>
          <w:b/>
          <w:szCs w:val="24"/>
        </w:rPr>
        <w:t xml:space="preserve"> </w:t>
      </w:r>
    </w:p>
    <w:p w14:paraId="6D359CC1" w14:textId="77777777" w:rsidR="00E27304" w:rsidRPr="00D0056D" w:rsidRDefault="00E27304" w:rsidP="00E27304">
      <w:pPr>
        <w:rPr>
          <w:rFonts w:cs="Times New Roman"/>
          <w:szCs w:val="24"/>
        </w:rPr>
      </w:pPr>
      <w:r w:rsidRPr="00D0056D">
        <w:rPr>
          <w:rFonts w:cs="Times New Roman"/>
          <w:szCs w:val="24"/>
        </w:rPr>
        <w:t xml:space="preserve">Mr. Chairman and Committee Members:  </w:t>
      </w:r>
    </w:p>
    <w:p w14:paraId="3CCB7D91" w14:textId="77777777" w:rsidR="00D0056D" w:rsidRDefault="00E27304" w:rsidP="00BD21DF">
      <w:pPr>
        <w:ind w:firstLine="720"/>
        <w:jc w:val="both"/>
        <w:rPr>
          <w:rFonts w:cs="Times New Roman"/>
          <w:szCs w:val="24"/>
        </w:rPr>
      </w:pPr>
      <w:r w:rsidRPr="00D0056D">
        <w:rPr>
          <w:rFonts w:cs="Times New Roman"/>
          <w:szCs w:val="24"/>
        </w:rPr>
        <w:t>I am a career public defender in my twenty-</w:t>
      </w:r>
      <w:r w:rsidR="00806F96" w:rsidRPr="00D0056D">
        <w:rPr>
          <w:rFonts w:cs="Times New Roman"/>
          <w:szCs w:val="24"/>
        </w:rPr>
        <w:t xml:space="preserve">third </w:t>
      </w:r>
      <w:r w:rsidRPr="00D0056D">
        <w:rPr>
          <w:rFonts w:cs="Times New Roman"/>
          <w:szCs w:val="24"/>
        </w:rPr>
        <w:t>year of practice. I am currently the chief of the Capital Litigation Unit</w:t>
      </w:r>
      <w:r w:rsidR="00464740">
        <w:rPr>
          <w:rFonts w:cs="Times New Roman"/>
          <w:szCs w:val="24"/>
        </w:rPr>
        <w:t xml:space="preserve"> </w:t>
      </w:r>
      <w:r w:rsidRPr="00D0056D">
        <w:rPr>
          <w:rFonts w:cs="Times New Roman"/>
          <w:szCs w:val="24"/>
        </w:rPr>
        <w:t>at the Office of State Appellate Public Defender</w:t>
      </w:r>
      <w:r w:rsidR="00072716">
        <w:rPr>
          <w:rFonts w:cs="Times New Roman"/>
          <w:szCs w:val="24"/>
        </w:rPr>
        <w:t xml:space="preserve"> (SAPD)</w:t>
      </w:r>
      <w:r w:rsidRPr="00D0056D">
        <w:rPr>
          <w:rFonts w:cs="Times New Roman"/>
          <w:szCs w:val="24"/>
        </w:rPr>
        <w:t>, where I have practiced since 2007</w:t>
      </w:r>
      <w:r w:rsidR="00072716">
        <w:rPr>
          <w:rFonts w:cs="Times New Roman"/>
          <w:szCs w:val="24"/>
        </w:rPr>
        <w:t xml:space="preserve">. I represent </w:t>
      </w:r>
      <w:r w:rsidR="00DB2183" w:rsidRPr="00D0056D">
        <w:rPr>
          <w:rFonts w:cs="Times New Roman"/>
          <w:szCs w:val="24"/>
        </w:rPr>
        <w:t xml:space="preserve">capital clients on </w:t>
      </w:r>
      <w:r w:rsidR="00806F96" w:rsidRPr="00D0056D">
        <w:rPr>
          <w:rFonts w:cs="Times New Roman"/>
          <w:szCs w:val="24"/>
        </w:rPr>
        <w:t>appeal and in state district court post-conviction proceedings</w:t>
      </w:r>
      <w:r w:rsidR="00072716">
        <w:rPr>
          <w:rFonts w:cs="Times New Roman"/>
          <w:szCs w:val="24"/>
        </w:rPr>
        <w:t xml:space="preserve"> challenging their death sentences</w:t>
      </w:r>
      <w:r w:rsidRPr="00D0056D">
        <w:rPr>
          <w:rFonts w:cs="Times New Roman"/>
          <w:szCs w:val="24"/>
        </w:rPr>
        <w:t xml:space="preserve">. </w:t>
      </w:r>
      <w:r w:rsidR="00806F96" w:rsidRPr="00D0056D">
        <w:rPr>
          <w:rFonts w:cs="Times New Roman"/>
          <w:szCs w:val="24"/>
        </w:rPr>
        <w:t xml:space="preserve">Before </w:t>
      </w:r>
      <w:r w:rsidR="00072716">
        <w:rPr>
          <w:rFonts w:cs="Times New Roman"/>
          <w:szCs w:val="24"/>
        </w:rPr>
        <w:t xml:space="preserve">the SAPD, I was trial-level public defender </w:t>
      </w:r>
      <w:r w:rsidR="00806F96" w:rsidRPr="00D0056D">
        <w:rPr>
          <w:rFonts w:cs="Times New Roman"/>
          <w:szCs w:val="24"/>
        </w:rPr>
        <w:t>with the Salt L</w:t>
      </w:r>
      <w:r w:rsidR="00464740">
        <w:rPr>
          <w:rFonts w:cs="Times New Roman"/>
          <w:szCs w:val="24"/>
        </w:rPr>
        <w:t>ake Legal Defender Association</w:t>
      </w:r>
      <w:r w:rsidR="00606E8A">
        <w:rPr>
          <w:rFonts w:cs="Times New Roman"/>
          <w:szCs w:val="24"/>
        </w:rPr>
        <w:t xml:space="preserve"> (LDA)</w:t>
      </w:r>
      <w:r w:rsidR="00530925">
        <w:rPr>
          <w:rFonts w:cs="Times New Roman"/>
          <w:szCs w:val="24"/>
        </w:rPr>
        <w:t>─</w:t>
      </w:r>
      <w:r w:rsidR="00806F96" w:rsidRPr="00D0056D">
        <w:rPr>
          <w:rFonts w:cs="Times New Roman"/>
          <w:szCs w:val="24"/>
        </w:rPr>
        <w:t>the public defender office for Salt</w:t>
      </w:r>
      <w:r w:rsidR="00530925">
        <w:rPr>
          <w:rFonts w:cs="Times New Roman"/>
          <w:szCs w:val="24"/>
        </w:rPr>
        <w:t xml:space="preserve"> Lake County</w:t>
      </w:r>
      <w:r w:rsidR="00806F96" w:rsidRPr="00D0056D">
        <w:rPr>
          <w:rFonts w:cs="Times New Roman"/>
          <w:szCs w:val="24"/>
        </w:rPr>
        <w:t xml:space="preserve">. </w:t>
      </w:r>
      <w:r w:rsidRPr="00D0056D">
        <w:rPr>
          <w:rFonts w:cs="Times New Roman"/>
          <w:szCs w:val="24"/>
        </w:rPr>
        <w:t xml:space="preserve">I am writing to express my strong support for the </w:t>
      </w:r>
      <w:r w:rsidR="00F67A59">
        <w:rPr>
          <w:rFonts w:cs="Times New Roman"/>
          <w:szCs w:val="24"/>
        </w:rPr>
        <w:t xml:space="preserve">PDC’s </w:t>
      </w:r>
      <w:r w:rsidR="00806F96" w:rsidRPr="00D0056D">
        <w:rPr>
          <w:rFonts w:cs="Times New Roman"/>
          <w:szCs w:val="24"/>
        </w:rPr>
        <w:t xml:space="preserve">proposed </w:t>
      </w:r>
      <w:r w:rsidR="008B60AE">
        <w:rPr>
          <w:rFonts w:cs="Times New Roman"/>
          <w:szCs w:val="24"/>
        </w:rPr>
        <w:t xml:space="preserve">Rules </w:t>
      </w:r>
      <w:proofErr w:type="gramStart"/>
      <w:r w:rsidR="00E74706">
        <w:rPr>
          <w:rFonts w:cs="Times New Roman"/>
          <w:szCs w:val="24"/>
        </w:rPr>
        <w:t>generally</w:t>
      </w:r>
      <w:r w:rsidR="00806F96" w:rsidRPr="00D0056D">
        <w:rPr>
          <w:rFonts w:cs="Times New Roman"/>
          <w:szCs w:val="24"/>
        </w:rPr>
        <w:t xml:space="preserve">, </w:t>
      </w:r>
      <w:r w:rsidR="00E74706">
        <w:rPr>
          <w:rFonts w:cs="Times New Roman"/>
          <w:szCs w:val="24"/>
        </w:rPr>
        <w:t>but</w:t>
      </w:r>
      <w:proofErr w:type="gramEnd"/>
      <w:r w:rsidR="00E74706">
        <w:rPr>
          <w:rFonts w:cs="Times New Roman"/>
          <w:szCs w:val="24"/>
        </w:rPr>
        <w:t xml:space="preserve"> </w:t>
      </w:r>
      <w:r w:rsidR="00B05E7D">
        <w:rPr>
          <w:rFonts w:cs="Times New Roman"/>
          <w:szCs w:val="24"/>
        </w:rPr>
        <w:t xml:space="preserve">will </w:t>
      </w:r>
      <w:r w:rsidR="00806F96" w:rsidRPr="00D0056D">
        <w:rPr>
          <w:rFonts w:cs="Times New Roman"/>
          <w:szCs w:val="24"/>
        </w:rPr>
        <w:t xml:space="preserve">focus my comments on the </w:t>
      </w:r>
      <w:r w:rsidR="008B60AE">
        <w:rPr>
          <w:rFonts w:cs="Times New Roman"/>
          <w:szCs w:val="24"/>
        </w:rPr>
        <w:t xml:space="preserve">Rules </w:t>
      </w:r>
      <w:r w:rsidR="00D0056D">
        <w:rPr>
          <w:rFonts w:cs="Times New Roman"/>
          <w:szCs w:val="24"/>
        </w:rPr>
        <w:t>governing the minimum qualifications for counsel and defense teams in capital cases</w:t>
      </w:r>
      <w:r w:rsidR="00D54C5A">
        <w:rPr>
          <w:rFonts w:cs="Times New Roman"/>
          <w:szCs w:val="24"/>
        </w:rPr>
        <w:t>.</w:t>
      </w:r>
    </w:p>
    <w:p w14:paraId="659CFB6A" w14:textId="77777777" w:rsidR="00121F0B" w:rsidRDefault="00332C95" w:rsidP="00121F0B">
      <w:pPr>
        <w:ind w:firstLine="720"/>
        <w:jc w:val="both"/>
      </w:pPr>
      <w:r w:rsidRPr="007949B4">
        <w:t>I attended</w:t>
      </w:r>
      <w:r w:rsidR="007949B4" w:rsidRPr="007949B4">
        <w:t xml:space="preserve"> </w:t>
      </w:r>
      <w:r w:rsidRPr="007949B4">
        <w:t>the February 14</w:t>
      </w:r>
      <w:r w:rsidRPr="007949B4">
        <w:rPr>
          <w:vertAlign w:val="superscript"/>
        </w:rPr>
        <w:t>th</w:t>
      </w:r>
      <w:r w:rsidRPr="007949B4">
        <w:t xml:space="preserve"> hearing on </w:t>
      </w:r>
      <w:r w:rsidR="003C311A">
        <w:t>th</w:t>
      </w:r>
      <w:r w:rsidR="00230447">
        <w:t xml:space="preserve">ese </w:t>
      </w:r>
      <w:r w:rsidR="008B60AE">
        <w:t xml:space="preserve">Rules </w:t>
      </w:r>
      <w:r w:rsidRPr="007949B4">
        <w:t xml:space="preserve">before the Senate Judiciary and Rules </w:t>
      </w:r>
      <w:proofErr w:type="gramStart"/>
      <w:r w:rsidRPr="007949B4">
        <w:t>Committee</w:t>
      </w:r>
      <w:r w:rsidR="00BD21DF">
        <w:t xml:space="preserve">, </w:t>
      </w:r>
      <w:r w:rsidRPr="007949B4">
        <w:t>and</w:t>
      </w:r>
      <w:proofErr w:type="gramEnd"/>
      <w:r w:rsidRPr="007949B4">
        <w:t xml:space="preserve"> am familiar with the narrative offered by those in opposition. </w:t>
      </w:r>
      <w:r w:rsidR="00D54C5A">
        <w:t xml:space="preserve">I have </w:t>
      </w:r>
      <w:r w:rsidR="003C311A">
        <w:t xml:space="preserve">also </w:t>
      </w:r>
      <w:r w:rsidR="00D54C5A">
        <w:t>seen the comments submitted by the lobbyist for the Idaho Association of Criminal Defense Lawyers (</w:t>
      </w:r>
      <w:proofErr w:type="spellStart"/>
      <w:r w:rsidR="00D54C5A">
        <w:t>IdACDL</w:t>
      </w:r>
      <w:proofErr w:type="spellEnd"/>
      <w:r w:rsidR="00D54C5A">
        <w:t xml:space="preserve">), as well as comments offered in-person and by written testimony, </w:t>
      </w:r>
      <w:r w:rsidR="00072716">
        <w:t xml:space="preserve">surprisingly offered by </w:t>
      </w:r>
      <w:r w:rsidR="00812388">
        <w:t xml:space="preserve">a handful of </w:t>
      </w:r>
      <w:r w:rsidR="00D54C5A">
        <w:t>county chief public defenders</w:t>
      </w:r>
      <w:r w:rsidR="00230447">
        <w:t xml:space="preserve"> opposed</w:t>
      </w:r>
      <w:r w:rsidR="00D54C5A">
        <w:t xml:space="preserve"> to these </w:t>
      </w:r>
      <w:r w:rsidR="008B60AE">
        <w:t>R</w:t>
      </w:r>
      <w:r w:rsidR="003C311A">
        <w:t>ules.</w:t>
      </w:r>
      <w:r w:rsidR="00D54C5A">
        <w:t xml:space="preserve"> </w:t>
      </w:r>
      <w:r w:rsidR="00DD286D">
        <w:t>T</w:t>
      </w:r>
      <w:r w:rsidR="003C311A">
        <w:t xml:space="preserve">he </w:t>
      </w:r>
      <w:r w:rsidR="008B60AE">
        <w:t xml:space="preserve">Rules </w:t>
      </w:r>
      <w:r w:rsidR="003C311A">
        <w:t xml:space="preserve">governing qualifications for </w:t>
      </w:r>
      <w:r w:rsidR="00DD286D">
        <w:t xml:space="preserve">counsel and </w:t>
      </w:r>
      <w:r w:rsidR="003C311A">
        <w:t>defense teams</w:t>
      </w:r>
      <w:r w:rsidR="00DD286D">
        <w:t xml:space="preserve"> in capital cases are </w:t>
      </w:r>
      <w:r w:rsidR="003C311A">
        <w:t>based on</w:t>
      </w:r>
      <w:r w:rsidR="002A6E88">
        <w:t xml:space="preserve"> national</w:t>
      </w:r>
      <w:r w:rsidR="003C311A">
        <w:t xml:space="preserve"> standards that have been in place</w:t>
      </w:r>
      <w:r w:rsidR="00F67A59">
        <w:t xml:space="preserve"> </w:t>
      </w:r>
      <w:r w:rsidR="003C311A">
        <w:t>since 2003</w:t>
      </w:r>
      <w:r w:rsidR="00072716">
        <w:t>,</w:t>
      </w:r>
      <w:r w:rsidR="003C311A">
        <w:rPr>
          <w:rStyle w:val="FootnoteReference"/>
          <w:szCs w:val="24"/>
        </w:rPr>
        <w:footnoteReference w:id="1"/>
      </w:r>
      <w:r w:rsidR="008B60AE">
        <w:t xml:space="preserve"> </w:t>
      </w:r>
      <w:r w:rsidR="00812388">
        <w:t xml:space="preserve">as set forth </w:t>
      </w:r>
      <w:r w:rsidR="008B60AE">
        <w:t>in the ABA Guidelines.</w:t>
      </w:r>
      <w:r w:rsidR="003C311A">
        <w:t xml:space="preserve"> </w:t>
      </w:r>
      <w:r w:rsidR="00555ACB">
        <w:t xml:space="preserve">The </w:t>
      </w:r>
      <w:r w:rsidR="008B60AE">
        <w:t xml:space="preserve">Rules </w:t>
      </w:r>
      <w:r w:rsidR="00F67A59">
        <w:t xml:space="preserve">were originally </w:t>
      </w:r>
      <w:r w:rsidR="00DA7077">
        <w:t xml:space="preserve">discussed and ultimately </w:t>
      </w:r>
      <w:r w:rsidR="00F67A59">
        <w:t xml:space="preserve">adopted by the </w:t>
      </w:r>
      <w:r w:rsidR="00DA7077">
        <w:t xml:space="preserve">PDC in </w:t>
      </w:r>
      <w:r w:rsidR="00DD286D">
        <w:t xml:space="preserve">late </w:t>
      </w:r>
      <w:r w:rsidR="00DA7077">
        <w:t xml:space="preserve">2017 following negotiated rulemaking. At that time, the same arguments and opposition were voiced by </w:t>
      </w:r>
      <w:r w:rsidR="00DD286D">
        <w:t xml:space="preserve">some of the same people. Yet here we are again, </w:t>
      </w:r>
      <w:r w:rsidR="007A4134">
        <w:t>and here this Committee is again, being</w:t>
      </w:r>
      <w:r w:rsidR="00121F0B">
        <w:t xml:space="preserve"> told it is unfair </w:t>
      </w:r>
      <w:r w:rsidR="007A4134">
        <w:t xml:space="preserve">to require appointed counsel to meet </w:t>
      </w:r>
      <w:r w:rsidR="00DD286D">
        <w:t xml:space="preserve">minimum standards and qualifications in their representation of individuals whose very </w:t>
      </w:r>
      <w:r w:rsidR="00DD286D">
        <w:lastRenderedPageBreak/>
        <w:t xml:space="preserve">lives depend on </w:t>
      </w:r>
      <w:r w:rsidR="00121F0B">
        <w:t>it. W</w:t>
      </w:r>
      <w:r w:rsidR="007A4134">
        <w:t xml:space="preserve">hat </w:t>
      </w:r>
      <w:r w:rsidR="00E74706">
        <w:t xml:space="preserve">is </w:t>
      </w:r>
      <w:proofErr w:type="spellStart"/>
      <w:r w:rsidR="00121F0B">
        <w:t>missing</w:t>
      </w:r>
      <w:r w:rsidR="00E74706">
        <w:rPr>
          <w:rFonts w:cs="Times New Roman"/>
        </w:rPr>
        <w:t>─</w:t>
      </w:r>
      <w:r w:rsidR="00E74706">
        <w:t>and</w:t>
      </w:r>
      <w:proofErr w:type="spellEnd"/>
      <w:r w:rsidR="00E74706">
        <w:t xml:space="preserve"> has always been missing</w:t>
      </w:r>
      <w:r w:rsidR="00121F0B">
        <w:t xml:space="preserve"> from these </w:t>
      </w:r>
      <w:proofErr w:type="spellStart"/>
      <w:r w:rsidR="00121F0B">
        <w:t>arguments</w:t>
      </w:r>
      <w:r w:rsidR="00E74706">
        <w:rPr>
          <w:rFonts w:cs="Times New Roman"/>
        </w:rPr>
        <w:t>─</w:t>
      </w:r>
      <w:r w:rsidR="00E74706">
        <w:t>is</w:t>
      </w:r>
      <w:proofErr w:type="spellEnd"/>
      <w:r w:rsidR="00E74706">
        <w:t xml:space="preserve"> </w:t>
      </w:r>
      <w:r w:rsidR="008B60AE">
        <w:t xml:space="preserve"> consideration of </w:t>
      </w:r>
      <w:r w:rsidR="00E74706">
        <w:t>whether these standards and qualifications benefit capital clients</w:t>
      </w:r>
      <w:r w:rsidR="007A4134">
        <w:t>.</w:t>
      </w:r>
      <w:r w:rsidR="00121F0B">
        <w:t xml:space="preserve"> They do.</w:t>
      </w:r>
    </w:p>
    <w:p w14:paraId="5266063F" w14:textId="77777777" w:rsidR="009629E5" w:rsidRDefault="008B60AE" w:rsidP="00121F0B">
      <w:pPr>
        <w:ind w:firstLine="720"/>
        <w:jc w:val="both"/>
      </w:pPr>
      <w:r>
        <w:t xml:space="preserve">The </w:t>
      </w:r>
      <w:r w:rsidR="00983247">
        <w:t xml:space="preserve">Rules essentially adopt </w:t>
      </w:r>
      <w:r>
        <w:t xml:space="preserve">the </w:t>
      </w:r>
      <w:r w:rsidR="00812388">
        <w:t xml:space="preserve">2003 </w:t>
      </w:r>
      <w:r>
        <w:t>ABA Guidelines as the standards and qualifications for capital counsel and capital defense</w:t>
      </w:r>
      <w:r w:rsidR="00983247">
        <w:t xml:space="preserve"> teams</w:t>
      </w:r>
      <w:r w:rsidR="00E93B83">
        <w:t xml:space="preserve"> in Idaho</w:t>
      </w:r>
      <w:r w:rsidR="00983247">
        <w:t>. The ABA Guidelines</w:t>
      </w:r>
      <w:r w:rsidR="00E93B83">
        <w:t xml:space="preserve"> </w:t>
      </w:r>
      <w:r w:rsidR="00E522FE">
        <w:t xml:space="preserve">are not aspirational but </w:t>
      </w:r>
      <w:r w:rsidR="00555ACB">
        <w:t>“embody the current consensus about what is required to provide effective defense representation in capital cases.”</w:t>
      </w:r>
      <w:r w:rsidR="00555ACB">
        <w:rPr>
          <w:rStyle w:val="FootnoteReference"/>
          <w:szCs w:val="24"/>
        </w:rPr>
        <w:footnoteReference w:id="2"/>
      </w:r>
      <w:r w:rsidR="00555ACB">
        <w:t xml:space="preserve"> </w:t>
      </w:r>
      <w:r w:rsidR="00072716">
        <w:t xml:space="preserve">Even </w:t>
      </w:r>
      <w:r w:rsidR="00F34C5D">
        <w:t>the United States Supreme Court recognizes the ABA Guidelines and the ABA Standards for Criminal Justice as established professional norms.</w:t>
      </w:r>
      <w:r w:rsidR="00F34C5D">
        <w:rPr>
          <w:rStyle w:val="FootnoteReference"/>
        </w:rPr>
        <w:footnoteReference w:id="3"/>
      </w:r>
      <w:r w:rsidR="00F34C5D" w:rsidRPr="0050632F">
        <w:t xml:space="preserve"> </w:t>
      </w:r>
    </w:p>
    <w:p w14:paraId="2F0A7894" w14:textId="77777777" w:rsidR="00407F0D" w:rsidRDefault="00BD21DF" w:rsidP="00530925">
      <w:pPr>
        <w:ind w:firstLine="720"/>
        <w:jc w:val="both"/>
        <w:rPr>
          <w:szCs w:val="24"/>
        </w:rPr>
      </w:pPr>
      <w:r>
        <w:rPr>
          <w:szCs w:val="24"/>
        </w:rPr>
        <w:t xml:space="preserve">I </w:t>
      </w:r>
      <w:r w:rsidR="00D54C5A">
        <w:rPr>
          <w:szCs w:val="24"/>
        </w:rPr>
        <w:t xml:space="preserve">urge </w:t>
      </w:r>
      <w:r>
        <w:rPr>
          <w:szCs w:val="24"/>
        </w:rPr>
        <w:t xml:space="preserve">this Committee </w:t>
      </w:r>
      <w:r w:rsidR="00D0056D" w:rsidRPr="007949B4">
        <w:rPr>
          <w:szCs w:val="24"/>
        </w:rPr>
        <w:t xml:space="preserve">to </w:t>
      </w:r>
      <w:r w:rsidR="009C084C">
        <w:rPr>
          <w:szCs w:val="24"/>
        </w:rPr>
        <w:t xml:space="preserve">maintain the Rules as they are, </w:t>
      </w:r>
      <w:r w:rsidR="00D0056D" w:rsidRPr="00D54C5A">
        <w:rPr>
          <w:b/>
          <w:szCs w:val="24"/>
        </w:rPr>
        <w:t>requiring</w:t>
      </w:r>
      <w:r w:rsidR="00D0056D" w:rsidRPr="007949B4">
        <w:rPr>
          <w:szCs w:val="24"/>
        </w:rPr>
        <w:t xml:space="preserve"> lead counsel </w:t>
      </w:r>
      <w:r w:rsidR="00D54C5A">
        <w:rPr>
          <w:szCs w:val="24"/>
        </w:rPr>
        <w:t xml:space="preserve">in a capital case </w:t>
      </w:r>
      <w:r w:rsidR="00D0056D" w:rsidRPr="007949B4">
        <w:rPr>
          <w:szCs w:val="24"/>
        </w:rPr>
        <w:t xml:space="preserve">to </w:t>
      </w:r>
      <w:r w:rsidR="00B15B83">
        <w:rPr>
          <w:szCs w:val="24"/>
        </w:rPr>
        <w:t xml:space="preserve">meet minimal qualifications and </w:t>
      </w:r>
      <w:r w:rsidR="00D0056D" w:rsidRPr="007949B4">
        <w:rPr>
          <w:szCs w:val="24"/>
        </w:rPr>
        <w:t xml:space="preserve">assemble a </w:t>
      </w:r>
      <w:r w:rsidR="002A6E88">
        <w:rPr>
          <w:szCs w:val="24"/>
        </w:rPr>
        <w:t xml:space="preserve">capital </w:t>
      </w:r>
      <w:r w:rsidR="00D0056D" w:rsidRPr="007949B4">
        <w:rPr>
          <w:szCs w:val="24"/>
        </w:rPr>
        <w:t>defense team</w:t>
      </w:r>
      <w:r w:rsidR="006F7514">
        <w:rPr>
          <w:szCs w:val="24"/>
        </w:rPr>
        <w:t xml:space="preserve"> consisting of co-counsel, an investigator, a mitigation specialist, and a mental health professional, </w:t>
      </w:r>
      <w:r w:rsidR="005352B7">
        <w:rPr>
          <w:szCs w:val="24"/>
        </w:rPr>
        <w:t xml:space="preserve">as soon as </w:t>
      </w:r>
      <w:r w:rsidR="00D0056D" w:rsidRPr="007949B4">
        <w:rPr>
          <w:szCs w:val="24"/>
        </w:rPr>
        <w:t>a</w:t>
      </w:r>
      <w:r w:rsidR="00E522FE">
        <w:rPr>
          <w:szCs w:val="24"/>
        </w:rPr>
        <w:t xml:space="preserve"> client </w:t>
      </w:r>
      <w:r w:rsidR="00C601D9">
        <w:rPr>
          <w:szCs w:val="24"/>
        </w:rPr>
        <w:t xml:space="preserve">makes his or her first </w:t>
      </w:r>
      <w:r w:rsidR="00D0056D" w:rsidRPr="007949B4">
        <w:rPr>
          <w:szCs w:val="24"/>
        </w:rPr>
        <w:t>court appearance</w:t>
      </w:r>
      <w:r w:rsidR="00B15B83">
        <w:rPr>
          <w:szCs w:val="24"/>
        </w:rPr>
        <w:t xml:space="preserve"> on a death-eligible offense</w:t>
      </w:r>
      <w:r w:rsidR="009629E5">
        <w:rPr>
          <w:szCs w:val="24"/>
        </w:rPr>
        <w:t>.</w:t>
      </w:r>
      <w:r w:rsidR="00D0056D" w:rsidRPr="007949B4">
        <w:rPr>
          <w:rStyle w:val="FootnoteReference"/>
          <w:szCs w:val="24"/>
        </w:rPr>
        <w:footnoteReference w:id="4"/>
      </w:r>
      <w:r w:rsidR="00D0056D" w:rsidRPr="007949B4">
        <w:rPr>
          <w:szCs w:val="24"/>
        </w:rPr>
        <w:t xml:space="preserve"> The</w:t>
      </w:r>
      <w:r w:rsidR="00530925">
        <w:rPr>
          <w:szCs w:val="24"/>
        </w:rPr>
        <w:t>se team members, and in particular the mitigation specialist, are indispensable,</w:t>
      </w:r>
      <w:r w:rsidR="00D0056D" w:rsidRPr="007949B4">
        <w:rPr>
          <w:szCs w:val="24"/>
        </w:rPr>
        <w:t xml:space="preserve"> and the</w:t>
      </w:r>
      <w:r w:rsidR="00617149">
        <w:rPr>
          <w:szCs w:val="24"/>
        </w:rPr>
        <w:t>ir</w:t>
      </w:r>
      <w:r w:rsidR="00D0056D" w:rsidRPr="007949B4">
        <w:rPr>
          <w:szCs w:val="24"/>
        </w:rPr>
        <w:t xml:space="preserve"> early involvement is essential to the</w:t>
      </w:r>
      <w:r w:rsidR="00407F0D">
        <w:rPr>
          <w:szCs w:val="24"/>
        </w:rPr>
        <w:t xml:space="preserve"> </w:t>
      </w:r>
      <w:r w:rsidR="00D0056D" w:rsidRPr="007949B4">
        <w:rPr>
          <w:szCs w:val="24"/>
        </w:rPr>
        <w:t xml:space="preserve">competent defense of any client accused of a capital </w:t>
      </w:r>
      <w:r w:rsidR="00407F0D">
        <w:rPr>
          <w:szCs w:val="24"/>
        </w:rPr>
        <w:t xml:space="preserve">offense. </w:t>
      </w:r>
      <w:r w:rsidR="00834FC6">
        <w:rPr>
          <w:szCs w:val="24"/>
        </w:rPr>
        <w:t xml:space="preserve">The best way to describe why team representation is necessary in capital cases is this: capital defense teams </w:t>
      </w:r>
      <w:proofErr w:type="gramStart"/>
      <w:r w:rsidR="00834FC6">
        <w:rPr>
          <w:szCs w:val="24"/>
        </w:rPr>
        <w:t>have to</w:t>
      </w:r>
      <w:proofErr w:type="gramEnd"/>
      <w:r w:rsidR="00834FC6">
        <w:rPr>
          <w:szCs w:val="24"/>
        </w:rPr>
        <w:t xml:space="preserve"> simultaneously prepare for trial</w:t>
      </w:r>
      <w:r w:rsidR="00834FC6">
        <w:rPr>
          <w:rStyle w:val="FootnoteReference"/>
          <w:szCs w:val="24"/>
        </w:rPr>
        <w:footnoteReference w:id="5"/>
      </w:r>
      <w:r w:rsidR="00834FC6">
        <w:rPr>
          <w:szCs w:val="24"/>
        </w:rPr>
        <w:t xml:space="preserve"> and do everything in their power to prevent a trial. Good defense representat</w:t>
      </w:r>
      <w:r w:rsidR="00B62DFD">
        <w:rPr>
          <w:szCs w:val="24"/>
        </w:rPr>
        <w:t xml:space="preserve">ion in a capital case means the client gets a sentence less than death, and </w:t>
      </w:r>
      <w:proofErr w:type="gramStart"/>
      <w:r w:rsidR="00B62DFD">
        <w:rPr>
          <w:szCs w:val="24"/>
        </w:rPr>
        <w:t>often times</w:t>
      </w:r>
      <w:proofErr w:type="gramEnd"/>
      <w:r w:rsidR="00B62DFD">
        <w:rPr>
          <w:szCs w:val="24"/>
        </w:rPr>
        <w:t xml:space="preserve"> the only way to accomplish that is through pre-trial resolution. But capital defense teams </w:t>
      </w:r>
      <w:proofErr w:type="gramStart"/>
      <w:r w:rsidR="00B62DFD">
        <w:rPr>
          <w:szCs w:val="24"/>
        </w:rPr>
        <w:t>have to</w:t>
      </w:r>
      <w:proofErr w:type="gramEnd"/>
      <w:r w:rsidR="00B62DFD">
        <w:rPr>
          <w:szCs w:val="24"/>
        </w:rPr>
        <w:t xml:space="preserve"> be ready for trial in case that offer never comes.</w:t>
      </w:r>
    </w:p>
    <w:p w14:paraId="3FC08980" w14:textId="77777777" w:rsidR="00D0056D" w:rsidRPr="007949B4" w:rsidRDefault="006F646C" w:rsidP="00407F0D">
      <w:pPr>
        <w:ind w:firstLine="720"/>
        <w:jc w:val="both"/>
        <w:rPr>
          <w:szCs w:val="24"/>
        </w:rPr>
      </w:pPr>
      <w:r>
        <w:rPr>
          <w:szCs w:val="24"/>
        </w:rPr>
        <w:t>But t</w:t>
      </w:r>
      <w:r w:rsidR="009E4D0B">
        <w:rPr>
          <w:szCs w:val="24"/>
        </w:rPr>
        <w:t xml:space="preserve">hose opposing the </w:t>
      </w:r>
      <w:r w:rsidR="004E18D0">
        <w:rPr>
          <w:szCs w:val="24"/>
        </w:rPr>
        <w:t xml:space="preserve">Rules want to </w:t>
      </w:r>
      <w:r w:rsidR="009E4D0B">
        <w:rPr>
          <w:szCs w:val="24"/>
        </w:rPr>
        <w:t xml:space="preserve">vest </w:t>
      </w:r>
      <w:r w:rsidR="001722F0">
        <w:rPr>
          <w:szCs w:val="24"/>
        </w:rPr>
        <w:t xml:space="preserve">lead counsel with the discretion to </w:t>
      </w:r>
      <w:r w:rsidR="00D0056D" w:rsidRPr="007949B4">
        <w:rPr>
          <w:szCs w:val="24"/>
        </w:rPr>
        <w:t xml:space="preserve">delay hiring or using the services of </w:t>
      </w:r>
      <w:r w:rsidR="001722F0">
        <w:rPr>
          <w:szCs w:val="24"/>
        </w:rPr>
        <w:t>co-counsel, an investigat</w:t>
      </w:r>
      <w:r w:rsidR="00606E8A">
        <w:rPr>
          <w:szCs w:val="24"/>
        </w:rPr>
        <w:t xml:space="preserve">or, </w:t>
      </w:r>
      <w:r w:rsidR="00D0056D" w:rsidRPr="007949B4">
        <w:rPr>
          <w:szCs w:val="24"/>
        </w:rPr>
        <w:t xml:space="preserve">a mitigation </w:t>
      </w:r>
      <w:proofErr w:type="gramStart"/>
      <w:r w:rsidR="00D0056D" w:rsidRPr="007949B4">
        <w:rPr>
          <w:szCs w:val="24"/>
        </w:rPr>
        <w:t>specialist</w:t>
      </w:r>
      <w:proofErr w:type="gramEnd"/>
      <w:r w:rsidR="00D0056D" w:rsidRPr="007949B4">
        <w:rPr>
          <w:szCs w:val="24"/>
        </w:rPr>
        <w:t xml:space="preserve"> </w:t>
      </w:r>
      <w:r w:rsidR="001722F0">
        <w:rPr>
          <w:szCs w:val="24"/>
        </w:rPr>
        <w:t xml:space="preserve">and mental health expert </w:t>
      </w:r>
      <w:r w:rsidR="00D0056D" w:rsidRPr="007949B4">
        <w:rPr>
          <w:szCs w:val="24"/>
        </w:rPr>
        <w:t xml:space="preserve">until </w:t>
      </w:r>
      <w:r w:rsidR="00D0056D" w:rsidRPr="001722F0">
        <w:rPr>
          <w:b/>
          <w:szCs w:val="24"/>
        </w:rPr>
        <w:t>after</w:t>
      </w:r>
      <w:r w:rsidR="00D0056D" w:rsidRPr="007949B4">
        <w:rPr>
          <w:szCs w:val="24"/>
        </w:rPr>
        <w:t xml:space="preserve"> </w:t>
      </w:r>
      <w:r w:rsidR="001722F0">
        <w:rPr>
          <w:szCs w:val="24"/>
        </w:rPr>
        <w:t xml:space="preserve">a </w:t>
      </w:r>
      <w:r w:rsidR="00D0056D" w:rsidRPr="007949B4">
        <w:rPr>
          <w:szCs w:val="24"/>
        </w:rPr>
        <w:t>death notice has been filed,</w:t>
      </w:r>
      <w:r w:rsidR="00D0056D" w:rsidRPr="007949B4">
        <w:rPr>
          <w:rStyle w:val="FootnoteReference"/>
          <w:szCs w:val="24"/>
        </w:rPr>
        <w:footnoteReference w:id="6"/>
      </w:r>
      <w:r w:rsidR="00D0056D" w:rsidRPr="007949B4">
        <w:rPr>
          <w:szCs w:val="24"/>
        </w:rPr>
        <w:t xml:space="preserve"> and the case is already speeding toward </w:t>
      </w:r>
      <w:r>
        <w:rPr>
          <w:szCs w:val="24"/>
        </w:rPr>
        <w:t>trial.</w:t>
      </w:r>
      <w:r w:rsidR="004E18D0">
        <w:rPr>
          <w:szCs w:val="24"/>
        </w:rPr>
        <w:t xml:space="preserve"> This </w:t>
      </w:r>
      <w:r>
        <w:rPr>
          <w:szCs w:val="24"/>
        </w:rPr>
        <w:lastRenderedPageBreak/>
        <w:t xml:space="preserve">discretionary approach </w:t>
      </w:r>
      <w:r w:rsidR="004E18D0">
        <w:rPr>
          <w:szCs w:val="24"/>
        </w:rPr>
        <w:t>is contrary to the prevailing professional norms of practice</w:t>
      </w:r>
      <w:r w:rsidR="00B62DFD">
        <w:rPr>
          <w:szCs w:val="24"/>
        </w:rPr>
        <w:t xml:space="preserve">, </w:t>
      </w:r>
      <w:r w:rsidR="004E18D0">
        <w:rPr>
          <w:szCs w:val="24"/>
        </w:rPr>
        <w:t>it</w:t>
      </w:r>
      <w:r w:rsidR="001722F0">
        <w:rPr>
          <w:szCs w:val="24"/>
        </w:rPr>
        <w:t xml:space="preserve"> undermines </w:t>
      </w:r>
      <w:r w:rsidR="004E18D0">
        <w:rPr>
          <w:szCs w:val="24"/>
        </w:rPr>
        <w:t>good defense representation and puts a capital client at a significant</w:t>
      </w:r>
      <w:r w:rsidR="00606E8A">
        <w:rPr>
          <w:szCs w:val="24"/>
        </w:rPr>
        <w:t xml:space="preserve"> </w:t>
      </w:r>
      <w:r w:rsidR="001722F0">
        <w:rPr>
          <w:szCs w:val="24"/>
        </w:rPr>
        <w:t>disadvantage.</w:t>
      </w:r>
      <w:r w:rsidR="00606E8A">
        <w:rPr>
          <w:szCs w:val="24"/>
        </w:rPr>
        <w:t xml:space="preserve"> </w:t>
      </w:r>
      <w:r w:rsidR="00457F7C">
        <w:rPr>
          <w:szCs w:val="24"/>
        </w:rPr>
        <w:t xml:space="preserve">Giving </w:t>
      </w:r>
      <w:r w:rsidR="002336F4">
        <w:rPr>
          <w:szCs w:val="24"/>
        </w:rPr>
        <w:t xml:space="preserve">lead counsel discretion to decide </w:t>
      </w:r>
      <w:proofErr w:type="gramStart"/>
      <w:r w:rsidR="002336F4">
        <w:rPr>
          <w:szCs w:val="24"/>
        </w:rPr>
        <w:t>if and when</w:t>
      </w:r>
      <w:proofErr w:type="gramEnd"/>
      <w:r w:rsidR="002336F4">
        <w:rPr>
          <w:szCs w:val="24"/>
        </w:rPr>
        <w:t xml:space="preserve"> to </w:t>
      </w:r>
      <w:r>
        <w:rPr>
          <w:szCs w:val="24"/>
        </w:rPr>
        <w:t xml:space="preserve">enlist the help of co-counsel, </w:t>
      </w:r>
      <w:r w:rsidR="002336F4">
        <w:rPr>
          <w:szCs w:val="24"/>
        </w:rPr>
        <w:t xml:space="preserve">retain an investigator, mitigation specialist and mental health professional, </w:t>
      </w:r>
      <w:r w:rsidR="00D0056D" w:rsidRPr="007949B4">
        <w:rPr>
          <w:szCs w:val="24"/>
        </w:rPr>
        <w:t xml:space="preserve">because no one really knows </w:t>
      </w:r>
      <w:r w:rsidR="00457F7C">
        <w:rPr>
          <w:szCs w:val="24"/>
        </w:rPr>
        <w:t xml:space="preserve">if </w:t>
      </w:r>
      <w:r w:rsidR="00D0056D" w:rsidRPr="007949B4">
        <w:rPr>
          <w:szCs w:val="24"/>
        </w:rPr>
        <w:t xml:space="preserve">the case will be death-noticed, is akin to </w:t>
      </w:r>
      <w:r w:rsidR="00457F7C">
        <w:rPr>
          <w:szCs w:val="24"/>
        </w:rPr>
        <w:t xml:space="preserve">waiting to appoint </w:t>
      </w:r>
      <w:r w:rsidR="00D0056D" w:rsidRPr="007949B4">
        <w:rPr>
          <w:szCs w:val="24"/>
        </w:rPr>
        <w:t>counsel until a few days before trial</w:t>
      </w:r>
      <w:r w:rsidR="00457F7C">
        <w:rPr>
          <w:szCs w:val="24"/>
        </w:rPr>
        <w:t xml:space="preserve"> because </w:t>
      </w:r>
      <w:r w:rsidR="00D0056D" w:rsidRPr="007949B4">
        <w:rPr>
          <w:szCs w:val="24"/>
        </w:rPr>
        <w:t xml:space="preserve">no one really knows until then whether a case will </w:t>
      </w:r>
      <w:r w:rsidR="00457F7C">
        <w:rPr>
          <w:szCs w:val="24"/>
        </w:rPr>
        <w:t xml:space="preserve">actually go to trial or </w:t>
      </w:r>
      <w:r w:rsidR="00D0056D" w:rsidRPr="007949B4">
        <w:rPr>
          <w:szCs w:val="24"/>
        </w:rPr>
        <w:t xml:space="preserve">resolve with a plea. At that point, the defense is already at a disadvantage, and has lost significant, crucial time </w:t>
      </w:r>
      <w:r w:rsidR="00606E8A">
        <w:rPr>
          <w:szCs w:val="24"/>
        </w:rPr>
        <w:t xml:space="preserve">to investigate and prepare the defense </w:t>
      </w:r>
      <w:r w:rsidR="00D0056D" w:rsidRPr="007949B4">
        <w:rPr>
          <w:szCs w:val="24"/>
        </w:rPr>
        <w:t xml:space="preserve">case. </w:t>
      </w:r>
    </w:p>
    <w:p w14:paraId="5867D521" w14:textId="77777777" w:rsidR="00D0056D" w:rsidRPr="007949B4" w:rsidRDefault="00457F7C" w:rsidP="00834FC6">
      <w:pPr>
        <w:ind w:firstLine="720"/>
        <w:jc w:val="both"/>
        <w:rPr>
          <w:szCs w:val="24"/>
        </w:rPr>
      </w:pPr>
      <w:r>
        <w:rPr>
          <w:szCs w:val="24"/>
        </w:rPr>
        <w:t xml:space="preserve">The Rules don’t exist for the sake of existing. They exist and have been adopted because they are the </w:t>
      </w:r>
      <w:proofErr w:type="gramStart"/>
      <w:r>
        <w:rPr>
          <w:szCs w:val="24"/>
        </w:rPr>
        <w:t>tried and true</w:t>
      </w:r>
      <w:proofErr w:type="gramEnd"/>
      <w:r>
        <w:rPr>
          <w:szCs w:val="24"/>
        </w:rPr>
        <w:t xml:space="preserve"> standards</w:t>
      </w:r>
      <w:r w:rsidR="00407F0D">
        <w:rPr>
          <w:szCs w:val="24"/>
        </w:rPr>
        <w:t xml:space="preserve"> of competent capital representation. </w:t>
      </w:r>
      <w:r w:rsidR="00B66873">
        <w:rPr>
          <w:szCs w:val="24"/>
        </w:rPr>
        <w:t xml:space="preserve">By requiring team representation from day one and improving the quality of </w:t>
      </w:r>
      <w:r w:rsidR="00407F0D">
        <w:rPr>
          <w:szCs w:val="24"/>
        </w:rPr>
        <w:t xml:space="preserve">representation </w:t>
      </w:r>
      <w:r w:rsidR="00B66873">
        <w:rPr>
          <w:szCs w:val="24"/>
        </w:rPr>
        <w:t>a capital defendant receives, the likelihood of a death sentence being imposed decreases significantly</w:t>
      </w:r>
      <w:r w:rsidR="006E040D">
        <w:rPr>
          <w:szCs w:val="24"/>
        </w:rPr>
        <w:t xml:space="preserve">. That is because it is hard for anyone tasked with the </w:t>
      </w:r>
      <w:proofErr w:type="gramStart"/>
      <w:r w:rsidR="006E040D">
        <w:rPr>
          <w:szCs w:val="24"/>
        </w:rPr>
        <w:t>life or death</w:t>
      </w:r>
      <w:proofErr w:type="gramEnd"/>
      <w:r w:rsidR="006E040D">
        <w:rPr>
          <w:szCs w:val="24"/>
        </w:rPr>
        <w:t xml:space="preserve"> decision to take the life of a human being. Good team representation helps shape the complete picture of who a client is, and helps to show that like </w:t>
      </w:r>
      <w:r w:rsidR="00812388">
        <w:rPr>
          <w:szCs w:val="24"/>
        </w:rPr>
        <w:t xml:space="preserve">all of us, </w:t>
      </w:r>
      <w:r w:rsidR="006E040D">
        <w:rPr>
          <w:szCs w:val="24"/>
        </w:rPr>
        <w:t xml:space="preserve">the client is a human being who is more than the </w:t>
      </w:r>
      <w:proofErr w:type="gramStart"/>
      <w:r w:rsidR="006E040D">
        <w:rPr>
          <w:szCs w:val="24"/>
        </w:rPr>
        <w:t>sum total</w:t>
      </w:r>
      <w:proofErr w:type="gramEnd"/>
      <w:r w:rsidR="006E040D">
        <w:rPr>
          <w:szCs w:val="24"/>
        </w:rPr>
        <w:t xml:space="preserve"> of</w:t>
      </w:r>
      <w:r w:rsidR="00A42DF4">
        <w:rPr>
          <w:szCs w:val="24"/>
        </w:rPr>
        <w:t xml:space="preserve"> his or her worst act or acts. </w:t>
      </w:r>
      <w:r w:rsidR="00E522FE">
        <w:rPr>
          <w:szCs w:val="24"/>
        </w:rPr>
        <w:t>A</w:t>
      </w:r>
      <w:r w:rsidR="00D0056D" w:rsidRPr="007949B4">
        <w:rPr>
          <w:szCs w:val="24"/>
        </w:rPr>
        <w:t xml:space="preserve"> mitigation specialist is </w:t>
      </w:r>
      <w:r w:rsidR="00E522FE">
        <w:rPr>
          <w:szCs w:val="24"/>
        </w:rPr>
        <w:t xml:space="preserve">indispensable to help </w:t>
      </w:r>
      <w:r w:rsidR="00D0056D" w:rsidRPr="007949B4">
        <w:rPr>
          <w:szCs w:val="24"/>
        </w:rPr>
        <w:t>lead counsel, and the defense team, meet this goal. Mitigation specialists appointed at the outset have spared the later expenditure of precious resources by gathering and developing mitigating evidence before a prosecutor has decided whether to file a death notice. Indeed, the early work of mitigation specialists has been used in countless cases to persuade prosecutors not to seek the death penalty at all.</w:t>
      </w:r>
      <w:r w:rsidR="00834FC6">
        <w:rPr>
          <w:szCs w:val="24"/>
        </w:rPr>
        <w:t xml:space="preserve"> </w:t>
      </w:r>
      <w:r w:rsidR="00D0056D" w:rsidRPr="007949B4">
        <w:rPr>
          <w:szCs w:val="24"/>
        </w:rPr>
        <w:t xml:space="preserve"> </w:t>
      </w:r>
    </w:p>
    <w:p w14:paraId="226846D4" w14:textId="77777777" w:rsidR="00606E8A" w:rsidRDefault="00606E8A" w:rsidP="006213B8">
      <w:pPr>
        <w:ind w:firstLine="720"/>
        <w:jc w:val="both"/>
        <w:rPr>
          <w:szCs w:val="24"/>
        </w:rPr>
      </w:pPr>
      <w:r>
        <w:rPr>
          <w:szCs w:val="24"/>
        </w:rPr>
        <w:t xml:space="preserve">When </w:t>
      </w:r>
      <w:r w:rsidR="00D0056D" w:rsidRPr="007949B4">
        <w:rPr>
          <w:szCs w:val="24"/>
        </w:rPr>
        <w:t xml:space="preserve">I </w:t>
      </w:r>
      <w:r w:rsidR="002C0762">
        <w:rPr>
          <w:szCs w:val="24"/>
        </w:rPr>
        <w:t xml:space="preserve">was </w:t>
      </w:r>
      <w:r w:rsidR="00D0056D" w:rsidRPr="007949B4">
        <w:rPr>
          <w:szCs w:val="24"/>
        </w:rPr>
        <w:t xml:space="preserve">a trial public defender </w:t>
      </w:r>
      <w:r>
        <w:rPr>
          <w:szCs w:val="24"/>
        </w:rPr>
        <w:t xml:space="preserve">at LDA, </w:t>
      </w:r>
      <w:r w:rsidR="00D0056D" w:rsidRPr="007949B4">
        <w:rPr>
          <w:szCs w:val="24"/>
        </w:rPr>
        <w:t xml:space="preserve">I </w:t>
      </w:r>
      <w:r w:rsidR="002C0762">
        <w:rPr>
          <w:szCs w:val="24"/>
        </w:rPr>
        <w:t xml:space="preserve">actively </w:t>
      </w:r>
      <w:r w:rsidR="00D0056D" w:rsidRPr="007949B4">
        <w:rPr>
          <w:szCs w:val="24"/>
        </w:rPr>
        <w:t>worked on one capital case and witnessed several others</w:t>
      </w:r>
      <w:r w:rsidR="00FF2ADE">
        <w:rPr>
          <w:szCs w:val="24"/>
        </w:rPr>
        <w:t xml:space="preserve">. In </w:t>
      </w:r>
      <w:proofErr w:type="gramStart"/>
      <w:r w:rsidR="00FF2ADE">
        <w:rPr>
          <w:szCs w:val="24"/>
        </w:rPr>
        <w:t>all of</w:t>
      </w:r>
      <w:proofErr w:type="gramEnd"/>
      <w:r w:rsidR="00FF2ADE">
        <w:rPr>
          <w:szCs w:val="24"/>
        </w:rPr>
        <w:t xml:space="preserve"> those cases, </w:t>
      </w:r>
      <w:r w:rsidR="00D0056D" w:rsidRPr="007949B4">
        <w:rPr>
          <w:szCs w:val="24"/>
        </w:rPr>
        <w:t xml:space="preserve">the </w:t>
      </w:r>
      <w:r w:rsidR="00FF2ADE">
        <w:rPr>
          <w:szCs w:val="24"/>
        </w:rPr>
        <w:t xml:space="preserve">early </w:t>
      </w:r>
      <w:r w:rsidR="00D0056D" w:rsidRPr="007949B4">
        <w:rPr>
          <w:szCs w:val="24"/>
        </w:rPr>
        <w:t>work done by our mitigation specialist</w:t>
      </w:r>
      <w:r w:rsidR="002C0762">
        <w:rPr>
          <w:szCs w:val="24"/>
        </w:rPr>
        <w:t>, mental health experts, and investigators</w:t>
      </w:r>
      <w:r w:rsidR="00D0056D" w:rsidRPr="007949B4">
        <w:rPr>
          <w:szCs w:val="24"/>
        </w:rPr>
        <w:t>, who began working on our capital cases the minute we were appointed, resulted in state prosecutors agreeing to take death off the table in exchange for our clients entering guilty pleas, long before a trial date was even contemplated. I</w:t>
      </w:r>
      <w:r w:rsidR="002C0762">
        <w:rPr>
          <w:szCs w:val="24"/>
        </w:rPr>
        <w:t>n my experience, the work of non-attorney professionals</w:t>
      </w:r>
      <w:r w:rsidR="00D0056D" w:rsidRPr="007949B4">
        <w:rPr>
          <w:szCs w:val="24"/>
        </w:rPr>
        <w:t xml:space="preserve"> </w:t>
      </w:r>
      <w:r w:rsidR="002C0762">
        <w:rPr>
          <w:szCs w:val="24"/>
        </w:rPr>
        <w:t xml:space="preserve">at </w:t>
      </w:r>
      <w:r w:rsidR="00D0056D" w:rsidRPr="007949B4">
        <w:rPr>
          <w:szCs w:val="24"/>
        </w:rPr>
        <w:t>the outset of a capital case is just as im</w:t>
      </w:r>
      <w:r>
        <w:rPr>
          <w:szCs w:val="24"/>
        </w:rPr>
        <w:t xml:space="preserve">portant as the work of counsel. </w:t>
      </w:r>
      <w:r w:rsidR="00D0056D" w:rsidRPr="007949B4">
        <w:rPr>
          <w:szCs w:val="24"/>
        </w:rPr>
        <w:t xml:space="preserve">The benefits of the early </w:t>
      </w:r>
      <w:r w:rsidR="002C0762">
        <w:rPr>
          <w:szCs w:val="24"/>
        </w:rPr>
        <w:t xml:space="preserve">involvement of a </w:t>
      </w:r>
      <w:r w:rsidR="00D0056D" w:rsidRPr="007949B4">
        <w:rPr>
          <w:szCs w:val="24"/>
        </w:rPr>
        <w:t>mitigation specialist</w:t>
      </w:r>
      <w:r w:rsidR="002C0762">
        <w:rPr>
          <w:szCs w:val="24"/>
        </w:rPr>
        <w:t>, mental health professional and investigator,</w:t>
      </w:r>
      <w:r w:rsidR="00D0056D" w:rsidRPr="007949B4">
        <w:rPr>
          <w:szCs w:val="24"/>
        </w:rPr>
        <w:t xml:space="preserve"> inure not only to the capital defendant, but to the justice </w:t>
      </w:r>
      <w:proofErr w:type="gramStart"/>
      <w:r w:rsidR="00D0056D" w:rsidRPr="007949B4">
        <w:rPr>
          <w:szCs w:val="24"/>
        </w:rPr>
        <w:t xml:space="preserve">system as a </w:t>
      </w:r>
      <w:r w:rsidR="00D0056D" w:rsidRPr="007949B4">
        <w:rPr>
          <w:szCs w:val="24"/>
        </w:rPr>
        <w:lastRenderedPageBreak/>
        <w:t>whole</w:t>
      </w:r>
      <w:proofErr w:type="gramEnd"/>
      <w:r w:rsidR="00D0056D" w:rsidRPr="007949B4">
        <w:rPr>
          <w:szCs w:val="24"/>
        </w:rPr>
        <w:t xml:space="preserve">. Early </w:t>
      </w:r>
      <w:r w:rsidR="00273C3D">
        <w:rPr>
          <w:szCs w:val="24"/>
        </w:rPr>
        <w:t xml:space="preserve">involvement </w:t>
      </w:r>
      <w:r w:rsidR="00D0056D" w:rsidRPr="007949B4">
        <w:rPr>
          <w:szCs w:val="24"/>
        </w:rPr>
        <w:t>of a mitigation specialist</w:t>
      </w:r>
      <w:r w:rsidR="002C0762">
        <w:rPr>
          <w:szCs w:val="24"/>
        </w:rPr>
        <w:t xml:space="preserve">, mental health professionals and an investigator, </w:t>
      </w:r>
      <w:r w:rsidR="00D0056D" w:rsidRPr="007949B4">
        <w:rPr>
          <w:szCs w:val="24"/>
        </w:rPr>
        <w:t xml:space="preserve"> helps ensure that the state’s decision to seek death is based on the most complete factual and legal picture available, enabling reliable decision-making by all stakeholders</w:t>
      </w:r>
      <w:r w:rsidR="006213B8">
        <w:rPr>
          <w:szCs w:val="24"/>
        </w:rPr>
        <w:t>.</w:t>
      </w:r>
    </w:p>
    <w:p w14:paraId="157205D0" w14:textId="77777777" w:rsidR="00D0056D" w:rsidRPr="007949B4" w:rsidRDefault="00356264" w:rsidP="00387181">
      <w:pPr>
        <w:ind w:firstLine="720"/>
        <w:jc w:val="both"/>
        <w:rPr>
          <w:szCs w:val="24"/>
        </w:rPr>
      </w:pPr>
      <w:r>
        <w:rPr>
          <w:szCs w:val="24"/>
        </w:rPr>
        <w:t xml:space="preserve">Indigent </w:t>
      </w:r>
      <w:r w:rsidR="006213B8">
        <w:rPr>
          <w:szCs w:val="24"/>
        </w:rPr>
        <w:t>capital clients bear the life and death consequences of inadequate representation</w:t>
      </w:r>
      <w:r>
        <w:rPr>
          <w:szCs w:val="24"/>
        </w:rPr>
        <w:t xml:space="preserve"> every day</w:t>
      </w:r>
      <w:r w:rsidR="006213B8">
        <w:rPr>
          <w:szCs w:val="24"/>
        </w:rPr>
        <w:t xml:space="preserve">. Ensuring that individuals facing a potential death sentence have the benefit of the guiding hand of qualified, competent counsel, and qualified capital defense teams at the outset, is the </w:t>
      </w:r>
      <w:r>
        <w:rPr>
          <w:szCs w:val="24"/>
        </w:rPr>
        <w:t>only way to ensure capital clients receive due process.</w:t>
      </w:r>
      <w:r w:rsidR="00FF2ADE">
        <w:rPr>
          <w:szCs w:val="24"/>
        </w:rPr>
        <w:t xml:space="preserve"> The best chance a capital client </w:t>
      </w:r>
      <w:proofErr w:type="gramStart"/>
      <w:r w:rsidR="00FF2ADE">
        <w:rPr>
          <w:szCs w:val="24"/>
        </w:rPr>
        <w:t>has to</w:t>
      </w:r>
      <w:proofErr w:type="gramEnd"/>
      <w:r w:rsidR="00FF2ADE">
        <w:rPr>
          <w:szCs w:val="24"/>
        </w:rPr>
        <w:t xml:space="preserve"> avoid the death penalty is at the trial level. </w:t>
      </w:r>
      <w:r w:rsidR="00353025">
        <w:rPr>
          <w:szCs w:val="24"/>
        </w:rPr>
        <w:t xml:space="preserve">That opportunity should not be </w:t>
      </w:r>
      <w:r w:rsidR="00FF2ADE">
        <w:rPr>
          <w:szCs w:val="24"/>
        </w:rPr>
        <w:t>thwarted by well-intentioned lead counsel who doesn’t assemble a defense team at the outset because he or she does not believe the case will be death-</w:t>
      </w:r>
      <w:proofErr w:type="gramStart"/>
      <w:r w:rsidR="00FF2ADE">
        <w:rPr>
          <w:szCs w:val="24"/>
        </w:rPr>
        <w:t>noticed, but</w:t>
      </w:r>
      <w:proofErr w:type="gramEnd"/>
      <w:r w:rsidR="00FF2ADE">
        <w:rPr>
          <w:szCs w:val="24"/>
        </w:rPr>
        <w:t xml:space="preserve"> turns out to be wrong.</w:t>
      </w:r>
      <w:r w:rsidR="00387181">
        <w:rPr>
          <w:szCs w:val="24"/>
        </w:rPr>
        <w:t xml:space="preserve"> </w:t>
      </w:r>
      <w:r w:rsidR="00D0056D" w:rsidRPr="007949B4">
        <w:rPr>
          <w:szCs w:val="24"/>
        </w:rPr>
        <w:t xml:space="preserve">For these reasons, I would urge the Committee to adopt the </w:t>
      </w:r>
      <w:r w:rsidR="00606E8A">
        <w:rPr>
          <w:szCs w:val="24"/>
        </w:rPr>
        <w:t>PDC’s rules governing the minimum qualifications for capital defense counsel and capital defense teams. A discretionary standard is</w:t>
      </w:r>
      <w:r w:rsidR="00D0056D" w:rsidRPr="007949B4">
        <w:rPr>
          <w:szCs w:val="24"/>
        </w:rPr>
        <w:t xml:space="preserve"> contrary to best practices and competent representation </w:t>
      </w:r>
      <w:r>
        <w:rPr>
          <w:szCs w:val="24"/>
        </w:rPr>
        <w:t xml:space="preserve">under the Sixth Amendment. </w:t>
      </w:r>
    </w:p>
    <w:p w14:paraId="5255CB63" w14:textId="77777777" w:rsidR="00387181" w:rsidRDefault="00D0056D" w:rsidP="00387181">
      <w:pPr>
        <w:jc w:val="both"/>
        <w:rPr>
          <w:szCs w:val="24"/>
        </w:rPr>
      </w:pPr>
      <w:r w:rsidRPr="007949B4">
        <w:rPr>
          <w:szCs w:val="24"/>
        </w:rPr>
        <w:tab/>
        <w:t xml:space="preserve">Thank you for your </w:t>
      </w:r>
      <w:r w:rsidR="00387181">
        <w:rPr>
          <w:szCs w:val="24"/>
        </w:rPr>
        <w:t xml:space="preserve">consideration, </w:t>
      </w:r>
      <w:r w:rsidRPr="007949B4">
        <w:rPr>
          <w:szCs w:val="24"/>
        </w:rPr>
        <w:t>and if you have any questions, please don’t hesitate to contact me.</w:t>
      </w:r>
    </w:p>
    <w:p w14:paraId="4068721A" w14:textId="77777777" w:rsidR="00E27304" w:rsidRDefault="00E27304" w:rsidP="00387181">
      <w:pPr>
        <w:spacing w:line="240" w:lineRule="auto"/>
        <w:jc w:val="both"/>
        <w:rPr>
          <w:rFonts w:cs="Times New Roman"/>
          <w:szCs w:val="24"/>
        </w:rPr>
      </w:pPr>
      <w:r w:rsidRPr="007949B4">
        <w:rPr>
          <w:rFonts w:cs="Times New Roman"/>
          <w:szCs w:val="24"/>
        </w:rPr>
        <w:t>Sincerely,</w:t>
      </w:r>
    </w:p>
    <w:p w14:paraId="01EE20D2" w14:textId="77777777" w:rsidR="00387181" w:rsidRDefault="00387181" w:rsidP="00387181">
      <w:pPr>
        <w:spacing w:line="240" w:lineRule="auto"/>
        <w:jc w:val="both"/>
        <w:rPr>
          <w:szCs w:val="24"/>
        </w:rPr>
      </w:pPr>
    </w:p>
    <w:p w14:paraId="276DD5CF" w14:textId="77777777" w:rsidR="00387181" w:rsidRPr="00387181" w:rsidRDefault="00387181" w:rsidP="00387181">
      <w:pPr>
        <w:spacing w:line="240" w:lineRule="auto"/>
        <w:jc w:val="both"/>
        <w:rPr>
          <w:szCs w:val="24"/>
        </w:rPr>
      </w:pPr>
      <w:r>
        <w:rPr>
          <w:szCs w:val="24"/>
        </w:rPr>
        <w:t>/s/</w:t>
      </w:r>
    </w:p>
    <w:p w14:paraId="3BB01E8C" w14:textId="77777777" w:rsidR="00E27304" w:rsidRPr="00D0056D" w:rsidRDefault="00E27304" w:rsidP="00387181">
      <w:pPr>
        <w:spacing w:line="240" w:lineRule="auto"/>
        <w:jc w:val="both"/>
        <w:rPr>
          <w:rFonts w:cs="Times New Roman"/>
          <w:szCs w:val="24"/>
        </w:rPr>
      </w:pPr>
      <w:r w:rsidRPr="00D0056D">
        <w:rPr>
          <w:rFonts w:cs="Times New Roman"/>
          <w:szCs w:val="24"/>
        </w:rPr>
        <w:t>Shannon Romero</w:t>
      </w:r>
    </w:p>
    <w:p w14:paraId="6E90C21D" w14:textId="77777777" w:rsidR="00E27304" w:rsidRPr="00D0056D" w:rsidRDefault="00E27304" w:rsidP="00D0056D">
      <w:pPr>
        <w:ind w:left="4320" w:hanging="4320"/>
        <w:jc w:val="both"/>
        <w:rPr>
          <w:rFonts w:cs="Times New Roman"/>
          <w:szCs w:val="24"/>
        </w:rPr>
      </w:pPr>
    </w:p>
    <w:p w14:paraId="4273C9E5" w14:textId="77777777" w:rsidR="00E27304" w:rsidRPr="00D0056D" w:rsidRDefault="00E27304" w:rsidP="00D0056D">
      <w:pPr>
        <w:rPr>
          <w:szCs w:val="24"/>
        </w:rPr>
      </w:pPr>
    </w:p>
    <w:p w14:paraId="6F153DAA" w14:textId="77777777" w:rsidR="00DB594A" w:rsidRDefault="00DB594A" w:rsidP="00D0056D">
      <w:pPr>
        <w:ind w:firstLine="720"/>
        <w:jc w:val="both"/>
        <w:rPr>
          <w:rFonts w:cs="Times New Roman"/>
        </w:rPr>
      </w:pPr>
    </w:p>
    <w:p w14:paraId="1CEB9D0B" w14:textId="77777777" w:rsidR="00D564A1" w:rsidRDefault="00D564A1" w:rsidP="00D0056D">
      <w:pPr>
        <w:ind w:firstLine="720"/>
        <w:jc w:val="both"/>
        <w:rPr>
          <w:rFonts w:cs="Times New Roman"/>
        </w:rPr>
      </w:pPr>
    </w:p>
    <w:p w14:paraId="15F47342" w14:textId="77777777" w:rsidR="00D564A1" w:rsidRDefault="00D564A1" w:rsidP="00D0056D">
      <w:pPr>
        <w:ind w:firstLine="720"/>
        <w:jc w:val="both"/>
        <w:rPr>
          <w:rFonts w:cs="Times New Roman"/>
        </w:rPr>
      </w:pPr>
    </w:p>
    <w:p w14:paraId="5DF670A9" w14:textId="77777777" w:rsidR="00D564A1" w:rsidRDefault="00D564A1" w:rsidP="00D0056D">
      <w:pPr>
        <w:ind w:firstLine="720"/>
        <w:jc w:val="both"/>
        <w:rPr>
          <w:rFonts w:cs="Times New Roman"/>
        </w:rPr>
      </w:pPr>
    </w:p>
    <w:p w14:paraId="524CDA63" w14:textId="77777777" w:rsidR="00D564A1" w:rsidRDefault="00D564A1" w:rsidP="00D0056D">
      <w:pPr>
        <w:ind w:firstLine="720"/>
        <w:jc w:val="both"/>
        <w:rPr>
          <w:rFonts w:cs="Times New Roman"/>
        </w:rPr>
      </w:pPr>
    </w:p>
    <w:p w14:paraId="6962DD62" w14:textId="77777777" w:rsidR="00D564A1" w:rsidRDefault="00D564A1" w:rsidP="00D0056D">
      <w:pPr>
        <w:ind w:firstLine="720"/>
        <w:jc w:val="both"/>
        <w:rPr>
          <w:rFonts w:cs="Times New Roman"/>
        </w:rPr>
      </w:pPr>
    </w:p>
    <w:p w14:paraId="10D3D524" w14:textId="77777777" w:rsidR="00D564A1" w:rsidRDefault="00D564A1" w:rsidP="00D0056D">
      <w:pPr>
        <w:ind w:firstLine="720"/>
        <w:jc w:val="both"/>
        <w:rPr>
          <w:rFonts w:cs="Times New Roman"/>
        </w:rPr>
      </w:pPr>
    </w:p>
    <w:p w14:paraId="29A48612" w14:textId="77777777" w:rsidR="00D564A1" w:rsidRDefault="00D564A1" w:rsidP="00D0056D">
      <w:pPr>
        <w:ind w:firstLine="720"/>
        <w:jc w:val="both"/>
        <w:rPr>
          <w:rFonts w:cs="Times New Roman"/>
        </w:rPr>
      </w:pPr>
    </w:p>
    <w:p w14:paraId="27B818AA" w14:textId="77777777" w:rsidR="00D564A1" w:rsidRDefault="00D564A1" w:rsidP="00D0056D">
      <w:pPr>
        <w:ind w:firstLine="720"/>
        <w:jc w:val="both"/>
        <w:rPr>
          <w:rFonts w:cs="Times New Roman"/>
        </w:rPr>
      </w:pPr>
    </w:p>
    <w:p w14:paraId="5C96E71B" w14:textId="77777777" w:rsidR="00D564A1" w:rsidRDefault="00D564A1" w:rsidP="00D0056D">
      <w:pPr>
        <w:ind w:firstLine="720"/>
        <w:jc w:val="both"/>
        <w:rPr>
          <w:rFonts w:cs="Times New Roman"/>
        </w:rPr>
      </w:pPr>
    </w:p>
    <w:p w14:paraId="242CDD3D" w14:textId="77777777" w:rsidR="00D564A1" w:rsidRDefault="00D564A1" w:rsidP="00D0056D">
      <w:pPr>
        <w:ind w:firstLine="720"/>
        <w:jc w:val="both"/>
        <w:rPr>
          <w:rFonts w:cs="Times New Roman"/>
        </w:rPr>
      </w:pPr>
    </w:p>
    <w:p w14:paraId="68302C3F" w14:textId="77777777" w:rsidR="00DB594A" w:rsidRDefault="00DB594A" w:rsidP="00D0056D">
      <w:pPr>
        <w:ind w:firstLine="720"/>
        <w:jc w:val="both"/>
        <w:rPr>
          <w:rFonts w:cs="Times New Roman"/>
        </w:rPr>
      </w:pPr>
    </w:p>
    <w:p w14:paraId="1B1E6AD8" w14:textId="77777777" w:rsidR="00DB594A" w:rsidRDefault="00DB594A" w:rsidP="00D0056D">
      <w:pPr>
        <w:ind w:firstLine="720"/>
        <w:jc w:val="both"/>
        <w:rPr>
          <w:rFonts w:cs="Times New Roman"/>
        </w:rPr>
      </w:pPr>
    </w:p>
    <w:p w14:paraId="78F5A0E7" w14:textId="77777777" w:rsidR="00DB594A" w:rsidRDefault="00DB594A" w:rsidP="00D0056D">
      <w:pPr>
        <w:ind w:firstLine="720"/>
        <w:jc w:val="both"/>
        <w:rPr>
          <w:rFonts w:cs="Times New Roman"/>
        </w:rPr>
      </w:pPr>
    </w:p>
    <w:p w14:paraId="022AC637" w14:textId="77777777" w:rsidR="00DB594A" w:rsidRDefault="00DB594A" w:rsidP="00D0056D">
      <w:pPr>
        <w:ind w:firstLine="720"/>
        <w:jc w:val="both"/>
        <w:rPr>
          <w:rFonts w:cs="Times New Roman"/>
        </w:rPr>
      </w:pPr>
    </w:p>
    <w:p w14:paraId="3E02EF0B" w14:textId="77777777" w:rsidR="00DB594A" w:rsidRDefault="00DB594A" w:rsidP="00D0056D">
      <w:pPr>
        <w:ind w:firstLine="720"/>
        <w:jc w:val="both"/>
        <w:rPr>
          <w:rFonts w:cs="Times New Roman"/>
        </w:rPr>
      </w:pPr>
    </w:p>
    <w:p w14:paraId="11994248" w14:textId="77777777" w:rsidR="00DB594A" w:rsidRDefault="00DB594A" w:rsidP="00D0056D">
      <w:pPr>
        <w:ind w:firstLine="720"/>
        <w:jc w:val="both"/>
        <w:rPr>
          <w:rFonts w:cs="Times New Roman"/>
        </w:rPr>
      </w:pPr>
    </w:p>
    <w:p w14:paraId="3F908100" w14:textId="77777777" w:rsidR="00DB594A" w:rsidRDefault="00DB594A" w:rsidP="00D0056D">
      <w:pPr>
        <w:ind w:firstLine="720"/>
        <w:jc w:val="both"/>
        <w:rPr>
          <w:rFonts w:cs="Times New Roman"/>
        </w:rPr>
      </w:pPr>
    </w:p>
    <w:p w14:paraId="25B1A35C" w14:textId="77777777" w:rsidR="00DB594A" w:rsidRDefault="00DB594A" w:rsidP="00D0056D">
      <w:pPr>
        <w:ind w:firstLine="720"/>
        <w:jc w:val="both"/>
        <w:rPr>
          <w:rFonts w:cs="Times New Roman"/>
        </w:rPr>
      </w:pPr>
    </w:p>
    <w:p w14:paraId="2AD4C967" w14:textId="77777777" w:rsidR="00DB594A" w:rsidRDefault="00DB594A" w:rsidP="00D0056D">
      <w:pPr>
        <w:ind w:firstLine="720"/>
        <w:jc w:val="both"/>
        <w:rPr>
          <w:rFonts w:cs="Times New Roman"/>
        </w:rPr>
      </w:pPr>
    </w:p>
    <w:p w14:paraId="403F4B1C" w14:textId="77777777" w:rsidR="00DB594A" w:rsidRDefault="00DB594A" w:rsidP="00D0056D">
      <w:pPr>
        <w:ind w:firstLine="720"/>
        <w:jc w:val="both"/>
        <w:rPr>
          <w:rFonts w:cs="Times New Roman"/>
        </w:rPr>
      </w:pPr>
    </w:p>
    <w:p w14:paraId="57315114" w14:textId="77777777" w:rsidR="00DB594A" w:rsidRPr="00DB594A" w:rsidRDefault="00DB594A" w:rsidP="00D0056D">
      <w:pPr>
        <w:ind w:firstLine="720"/>
        <w:jc w:val="both"/>
        <w:rPr>
          <w:rFonts w:cs="Times New Roman"/>
        </w:rPr>
      </w:pPr>
    </w:p>
    <w:sectPr w:rsidR="00DB594A" w:rsidRPr="00DB594A" w:rsidSect="00DB594A">
      <w:headerReference w:type="first" r:id="rId8"/>
      <w:footerReference w:type="first" r:id="rId9"/>
      <w:pgSz w:w="12240" w:h="15840"/>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C633" w14:textId="77777777" w:rsidR="00C461A7" w:rsidRDefault="00C461A7" w:rsidP="00DB594A">
      <w:pPr>
        <w:spacing w:line="240" w:lineRule="auto"/>
      </w:pPr>
      <w:r>
        <w:separator/>
      </w:r>
    </w:p>
  </w:endnote>
  <w:endnote w:type="continuationSeparator" w:id="0">
    <w:p w14:paraId="7396F892" w14:textId="77777777" w:rsidR="00C461A7" w:rsidRDefault="00C461A7" w:rsidP="00DB59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73EF" w14:textId="77777777" w:rsidR="00DB594A" w:rsidRDefault="00DB594A" w:rsidP="00DB594A">
    <w:pPr>
      <w:spacing w:line="240" w:lineRule="auto"/>
      <w:jc w:val="center"/>
      <w:textAlignment w:val="baseline"/>
      <w:rPr>
        <w:rFonts w:eastAsia="Times New Roman"/>
        <w:b/>
        <w:color w:val="2C479A"/>
        <w:spacing w:val="-4"/>
        <w:sz w:val="20"/>
      </w:rPr>
    </w:pPr>
    <w:r>
      <w:rPr>
        <w:rFonts w:eastAsia="Times New Roman"/>
        <w:b/>
        <w:color w:val="2C479A"/>
        <w:spacing w:val="-4"/>
        <w:sz w:val="20"/>
      </w:rPr>
      <w:t>State Appellate Public Defender</w:t>
    </w:r>
  </w:p>
  <w:p w14:paraId="468551E5" w14:textId="77777777" w:rsidR="00DB594A" w:rsidRDefault="00DB594A" w:rsidP="00DB594A">
    <w:pPr>
      <w:spacing w:line="240" w:lineRule="auto"/>
      <w:jc w:val="center"/>
      <w:textAlignment w:val="baseline"/>
      <w:rPr>
        <w:rFonts w:eastAsia="Times New Roman"/>
        <w:color w:val="2C479A"/>
        <w:sz w:val="16"/>
      </w:rPr>
    </w:pPr>
    <w:r>
      <w:rPr>
        <w:rFonts w:eastAsia="Times New Roman"/>
        <w:color w:val="2C479A"/>
        <w:sz w:val="16"/>
      </w:rPr>
      <w:t>322 East Front Street, Suite 570</w:t>
    </w:r>
  </w:p>
  <w:p w14:paraId="03A38F45" w14:textId="77777777" w:rsidR="00DB594A" w:rsidRDefault="00DB594A" w:rsidP="00DB594A">
    <w:pPr>
      <w:spacing w:line="240" w:lineRule="auto"/>
      <w:jc w:val="center"/>
      <w:textAlignment w:val="baseline"/>
      <w:rPr>
        <w:rFonts w:eastAsia="Times New Roman"/>
        <w:color w:val="2C479A"/>
        <w:spacing w:val="2"/>
        <w:sz w:val="16"/>
      </w:rPr>
    </w:pPr>
    <w:r>
      <w:rPr>
        <w:rFonts w:eastAsia="Times New Roman"/>
        <w:color w:val="2C479A"/>
        <w:spacing w:val="2"/>
        <w:sz w:val="16"/>
      </w:rPr>
      <w:t>Boise, ID 83702</w:t>
    </w:r>
  </w:p>
  <w:p w14:paraId="34BBEBB6" w14:textId="77777777" w:rsidR="00DB594A" w:rsidRPr="005E2B36" w:rsidRDefault="00DB594A" w:rsidP="00DB594A">
    <w:pPr>
      <w:spacing w:line="240" w:lineRule="auto"/>
      <w:jc w:val="center"/>
      <w:textAlignment w:val="baseline"/>
      <w:rPr>
        <w:rFonts w:eastAsia="Times New Roman"/>
        <w:color w:val="2C479A"/>
        <w:spacing w:val="2"/>
        <w:sz w:val="16"/>
      </w:rPr>
    </w:pPr>
    <w:r>
      <w:rPr>
        <w:rFonts w:eastAsia="Times New Roman"/>
        <w:color w:val="2C479A"/>
        <w:spacing w:val="2"/>
        <w:sz w:val="16"/>
      </w:rPr>
      <w:t>Telephone: (208) 334-2712 Fax: (208) 334-2985</w:t>
    </w:r>
  </w:p>
  <w:p w14:paraId="284E6DF3" w14:textId="77777777" w:rsidR="00DB594A" w:rsidRDefault="00DB5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594A" w14:textId="77777777" w:rsidR="00C461A7" w:rsidRDefault="00C461A7" w:rsidP="00DB594A">
      <w:pPr>
        <w:spacing w:line="240" w:lineRule="auto"/>
      </w:pPr>
      <w:r>
        <w:separator/>
      </w:r>
    </w:p>
  </w:footnote>
  <w:footnote w:type="continuationSeparator" w:id="0">
    <w:p w14:paraId="0F5C6B16" w14:textId="77777777" w:rsidR="00C461A7" w:rsidRDefault="00C461A7" w:rsidP="00DB594A">
      <w:pPr>
        <w:spacing w:line="240" w:lineRule="auto"/>
      </w:pPr>
      <w:r>
        <w:continuationSeparator/>
      </w:r>
    </w:p>
  </w:footnote>
  <w:footnote w:id="1">
    <w:p w14:paraId="201C1610" w14:textId="77777777" w:rsidR="003C311A" w:rsidRPr="00A92422" w:rsidRDefault="003C311A" w:rsidP="00B15B83">
      <w:pPr>
        <w:pStyle w:val="FootnoteText"/>
      </w:pPr>
      <w:r>
        <w:rPr>
          <w:rStyle w:val="FootnoteReference"/>
        </w:rPr>
        <w:footnoteRef/>
      </w:r>
      <w:r>
        <w:t xml:space="preserve"> </w:t>
      </w:r>
      <w:r w:rsidRPr="007A4134">
        <w:rPr>
          <w:i/>
        </w:rPr>
        <w:t xml:space="preserve">See </w:t>
      </w:r>
      <w:r w:rsidRPr="00A92422">
        <w:t>American Bar Association</w:t>
      </w:r>
      <w:r w:rsidR="00775680" w:rsidRPr="00A92422">
        <w:t>:</w:t>
      </w:r>
      <w:r w:rsidRPr="00A92422">
        <w:t xml:space="preserve"> Guidelines for the Appointment and Performance of Defense Counsel in De</w:t>
      </w:r>
      <w:r w:rsidR="00775680" w:rsidRPr="00A92422">
        <w:t>ath Penalty Case</w:t>
      </w:r>
      <w:r w:rsidR="00555ACB" w:rsidRPr="00A92422">
        <w:t>s</w:t>
      </w:r>
      <w:r w:rsidR="00775680" w:rsidRPr="00A92422">
        <w:t xml:space="preserve">, 31 </w:t>
      </w:r>
      <w:r w:rsidR="00775680" w:rsidRPr="00DA7077">
        <w:rPr>
          <w:smallCaps/>
        </w:rPr>
        <w:t xml:space="preserve">Hofstra </w:t>
      </w:r>
      <w:proofErr w:type="spellStart"/>
      <w:r w:rsidR="00775680" w:rsidRPr="00DA7077">
        <w:rPr>
          <w:smallCaps/>
        </w:rPr>
        <w:t>L.Rev</w:t>
      </w:r>
      <w:proofErr w:type="spellEnd"/>
      <w:r w:rsidR="00775680" w:rsidRPr="00A92422">
        <w:t xml:space="preserve">. 913 (2003) (ABA Guidelines). </w:t>
      </w:r>
    </w:p>
  </w:footnote>
  <w:footnote w:id="2">
    <w:p w14:paraId="70871B1B" w14:textId="77777777" w:rsidR="00555ACB" w:rsidRPr="00555ACB" w:rsidRDefault="00555ACB" w:rsidP="00A92422">
      <w:pPr>
        <w:pStyle w:val="FootnoteText"/>
      </w:pPr>
      <w:r>
        <w:rPr>
          <w:rStyle w:val="FootnoteReference"/>
        </w:rPr>
        <w:footnoteRef/>
      </w:r>
      <w:r>
        <w:t xml:space="preserve"> </w:t>
      </w:r>
      <w:r>
        <w:rPr>
          <w:i/>
        </w:rPr>
        <w:t>Id.</w:t>
      </w:r>
      <w:r>
        <w:t xml:space="preserve"> at 920-21.</w:t>
      </w:r>
      <w:r w:rsidR="00F34C5D">
        <w:t xml:space="preserve"> </w:t>
      </w:r>
    </w:p>
  </w:footnote>
  <w:footnote w:id="3">
    <w:p w14:paraId="0A27DCF6" w14:textId="77777777" w:rsidR="00F34C5D" w:rsidRDefault="00F34C5D" w:rsidP="00A92422">
      <w:pPr>
        <w:pStyle w:val="FootnoteText"/>
      </w:pPr>
      <w:r>
        <w:rPr>
          <w:rStyle w:val="FootnoteReference"/>
        </w:rPr>
        <w:footnoteRef/>
      </w:r>
      <w:r>
        <w:t xml:space="preserve"> </w:t>
      </w:r>
      <w:r w:rsidRPr="0050632F">
        <w:rPr>
          <w:i/>
        </w:rPr>
        <w:t xml:space="preserve">See </w:t>
      </w:r>
      <w:bookmarkStart w:id="0" w:name="dabmci_b1b4aa248ef54fa8aa94c39bd98936aa"/>
      <w:r>
        <w:rPr>
          <w:i/>
        </w:rPr>
        <w:fldChar w:fldCharType="begin"/>
      </w:r>
      <w:r w:rsidRPr="00C86149">
        <w:instrText xml:space="preserve"> TA \l "</w:instrText>
      </w:r>
      <w:r w:rsidRPr="00C86149">
        <w:rPr>
          <w:i/>
          <w:color w:val="000000"/>
        </w:rPr>
        <w:instrText>Padilla v. Kentucky</w:instrText>
      </w:r>
      <w:r w:rsidRPr="00C86149">
        <w:rPr>
          <w:color w:val="000000"/>
        </w:rPr>
        <w:instrText>, 559 U.S. 356 (2010)</w:instrText>
      </w:r>
      <w:r w:rsidRPr="00C86149">
        <w:instrText>" \s "A;O;19;dabmci_b1b4aa248ef54fa8aa94c39bd98936aa_1;I7fc9b8e23cc311dfaad3d35f6227d4a8;;0;F;</w:instrText>
      </w:r>
      <w:r w:rsidRPr="00C86149">
        <w:rPr>
          <w:i/>
          <w:color w:val="000000"/>
        </w:rPr>
        <w:instrText xml:space="preserve">Padilla v. Kentucky, </w:instrText>
      </w:r>
      <w:r w:rsidRPr="00C86149">
        <w:rPr>
          <w:color w:val="000000"/>
        </w:rPr>
        <w:instrText>559 U.S. 356, 367-68 (2010)</w:instrText>
      </w:r>
      <w:r w:rsidRPr="00C86149">
        <w:instrText xml:space="preserve">" \c 1 </w:instrText>
      </w:r>
      <w:r>
        <w:rPr>
          <w:i/>
        </w:rPr>
        <w:fldChar w:fldCharType="end"/>
      </w:r>
      <w:r>
        <w:rPr>
          <w:i/>
        </w:rPr>
        <w:t xml:space="preserve">Padilla v. Kentucky, </w:t>
      </w:r>
      <w:r>
        <w:t>559 U.S. 356, 367–68 (2010)</w:t>
      </w:r>
      <w:bookmarkEnd w:id="0"/>
      <w:r>
        <w:rPr>
          <w:i/>
        </w:rPr>
        <w:t xml:space="preserve">; </w:t>
      </w:r>
      <w:bookmarkStart w:id="1" w:name="dabmci_60fbd64098c346b7816a57b1c2db903b"/>
      <w:r>
        <w:rPr>
          <w:i/>
        </w:rPr>
        <w:fldChar w:fldCharType="begin"/>
      </w:r>
      <w:r w:rsidRPr="00C86149">
        <w:instrText xml:space="preserve"> TA \l "</w:instrText>
      </w:r>
      <w:r w:rsidRPr="00C86149">
        <w:rPr>
          <w:i/>
          <w:color w:val="000000"/>
        </w:rPr>
        <w:instrText>Bobby v. Van Hook</w:instrText>
      </w:r>
      <w:r w:rsidRPr="00C86149">
        <w:rPr>
          <w:color w:val="000000"/>
        </w:rPr>
        <w:instrText>, 558 U.S. 4 (2009)</w:instrText>
      </w:r>
      <w:r w:rsidRPr="00C86149">
        <w:instrText>" \s "A;O;17;dabmci_60fbd64098c346b7816a57b1c2db903b_1;I344f2675cd2511dea82ab9f4ee295c21;;0;F;</w:instrText>
      </w:r>
      <w:r w:rsidRPr="00C86149">
        <w:rPr>
          <w:i/>
          <w:color w:val="000000"/>
        </w:rPr>
        <w:instrText xml:space="preserve">Bobby v. Van Hook, </w:instrText>
      </w:r>
      <w:r w:rsidRPr="00C86149">
        <w:rPr>
          <w:color w:val="000000"/>
        </w:rPr>
        <w:instrText>558 U.S. 4, 8 (2009)</w:instrText>
      </w:r>
      <w:r w:rsidRPr="00C86149">
        <w:instrText xml:space="preserve">" \c 1 </w:instrText>
      </w:r>
      <w:r>
        <w:rPr>
          <w:i/>
        </w:rPr>
        <w:fldChar w:fldCharType="end"/>
      </w:r>
      <w:r w:rsidRPr="0050632F">
        <w:rPr>
          <w:i/>
        </w:rPr>
        <w:t xml:space="preserve">Bobby v. Van Hook, </w:t>
      </w:r>
      <w:r>
        <w:t xml:space="preserve">558 U.S. 4, 8 </w:t>
      </w:r>
      <w:r w:rsidRPr="0050632F">
        <w:t>(2009)</w:t>
      </w:r>
      <w:bookmarkEnd w:id="1"/>
      <w:r w:rsidRPr="0050632F">
        <w:t xml:space="preserve"> (per </w:t>
      </w:r>
      <w:proofErr w:type="spellStart"/>
      <w:r w:rsidRPr="0050632F">
        <w:t>curiam</w:t>
      </w:r>
      <w:proofErr w:type="spellEnd"/>
      <w:r w:rsidRPr="0050632F">
        <w:t>);</w:t>
      </w:r>
      <w:r w:rsidRPr="0050632F">
        <w:rPr>
          <w:i/>
        </w:rPr>
        <w:t xml:space="preserve"> </w:t>
      </w:r>
      <w:bookmarkStart w:id="2" w:name="dabmci_dd3d590be0874e7ab7cbb551f7b3770f"/>
      <w:r>
        <w:rPr>
          <w:i/>
        </w:rPr>
        <w:fldChar w:fldCharType="begin"/>
      </w:r>
      <w:r w:rsidRPr="00C86149">
        <w:instrText xml:space="preserve"> TA \l "</w:instrText>
      </w:r>
      <w:r w:rsidRPr="00C86149">
        <w:rPr>
          <w:i/>
          <w:color w:val="000000"/>
        </w:rPr>
        <w:instrText>Rompilla v. Beard</w:instrText>
      </w:r>
      <w:r w:rsidRPr="00C86149">
        <w:rPr>
          <w:color w:val="000000"/>
        </w:rPr>
        <w:instrText>, 545 U.S. 374</w:instrText>
      </w:r>
      <w:r w:rsidRPr="00C86149">
        <w:instrText>" \s "A;O;17;dabmci_dd3d590be0874e7ab7cbb551f7b3770f_4;Ia2a0cb42e18f11d98ac8f235252e36df;;0;F;</w:instrText>
      </w:r>
      <w:r w:rsidRPr="00C86149">
        <w:rPr>
          <w:i/>
          <w:color w:val="000000"/>
        </w:rPr>
        <w:instrText xml:space="preserve">Rompilla v. Beard, </w:instrText>
      </w:r>
      <w:r w:rsidRPr="00C86149">
        <w:rPr>
          <w:color w:val="000000"/>
        </w:rPr>
        <w:instrText>545 U.S. 374, 387-89</w:instrText>
      </w:r>
      <w:r w:rsidRPr="00C86149">
        <w:instrText xml:space="preserve">" \c 1 </w:instrText>
      </w:r>
      <w:r>
        <w:rPr>
          <w:i/>
        </w:rPr>
        <w:fldChar w:fldCharType="end"/>
      </w:r>
      <w:proofErr w:type="spellStart"/>
      <w:r w:rsidRPr="0050632F">
        <w:rPr>
          <w:i/>
        </w:rPr>
        <w:t>Rompilla</w:t>
      </w:r>
      <w:proofErr w:type="spellEnd"/>
      <w:r w:rsidRPr="0050632F">
        <w:rPr>
          <w:i/>
        </w:rPr>
        <w:t xml:space="preserve"> v. Beard, </w:t>
      </w:r>
      <w:r w:rsidRPr="0050632F">
        <w:t>545 U.S</w:t>
      </w:r>
      <w:r>
        <w:t>. 374, 387–89</w:t>
      </w:r>
      <w:bookmarkEnd w:id="2"/>
      <w:r>
        <w:t xml:space="preserve"> &amp; nn.6–7 (2005); </w:t>
      </w:r>
      <w:bookmarkStart w:id="3" w:name="dabmci_20a6b622a391491ea08908e97cc6f198"/>
      <w:r>
        <w:fldChar w:fldCharType="begin"/>
      </w:r>
      <w:r w:rsidRPr="00C86149">
        <w:instrText xml:space="preserve"> TA \l "</w:instrText>
      </w:r>
      <w:r w:rsidRPr="00C86149">
        <w:rPr>
          <w:i/>
          <w:color w:val="000000"/>
        </w:rPr>
        <w:instrText>Florida v. Nixon</w:instrText>
      </w:r>
      <w:r w:rsidRPr="00C86149">
        <w:rPr>
          <w:color w:val="000000"/>
        </w:rPr>
        <w:instrText>, 543 U.S. 175 (2004)</w:instrText>
      </w:r>
      <w:r w:rsidRPr="00C86149">
        <w:instrText>" \s "A;O;16;dabmci_20a6b622a391491ea08908e97cc6f198_1;I9a2ea64f9c9c11d991d0cc6b54f12d4d;;0;F;</w:instrText>
      </w:r>
      <w:r w:rsidRPr="00C86149">
        <w:rPr>
          <w:i/>
          <w:color w:val="000000"/>
        </w:rPr>
        <w:instrText xml:space="preserve">Florida v. Nixon, </w:instrText>
      </w:r>
      <w:r w:rsidRPr="00C86149">
        <w:rPr>
          <w:color w:val="000000"/>
        </w:rPr>
        <w:instrText>543 U.S. 175 (2004)</w:instrText>
      </w:r>
      <w:r w:rsidRPr="00C86149">
        <w:instrText xml:space="preserve">" \c 1 </w:instrText>
      </w:r>
      <w:r>
        <w:fldChar w:fldCharType="end"/>
      </w:r>
      <w:r w:rsidRPr="0050632F">
        <w:rPr>
          <w:i/>
        </w:rPr>
        <w:t xml:space="preserve">Florida v. Nixon, </w:t>
      </w:r>
      <w:r w:rsidRPr="0050632F">
        <w:t>543 U.S. 175 (2004)</w:t>
      </w:r>
      <w:bookmarkEnd w:id="3"/>
      <w:r w:rsidRPr="0050632F">
        <w:t xml:space="preserve">; </w:t>
      </w:r>
      <w:bookmarkStart w:id="4" w:name="dabmci_751169290faa4456b1b950749f19648a"/>
      <w:r>
        <w:fldChar w:fldCharType="begin"/>
      </w:r>
      <w:r w:rsidRPr="00C86149">
        <w:instrText xml:space="preserve"> TA \l "</w:instrText>
      </w:r>
      <w:r w:rsidRPr="00C86149">
        <w:rPr>
          <w:i/>
          <w:color w:val="000000"/>
        </w:rPr>
        <w:instrText>Wiggins v. Smith</w:instrText>
      </w:r>
      <w:r w:rsidRPr="00C86149">
        <w:rPr>
          <w:color w:val="000000"/>
        </w:rPr>
        <w:instrText>, 539 U.S. 510 (2003)</w:instrText>
      </w:r>
      <w:r w:rsidRPr="00C86149">
        <w:instrText>" \s "A;O;16;dabmci_751169290faa4456b1b950749f19648a_7;I64f89df49c9711d9bc61beebb95be672;;0;F;</w:instrText>
      </w:r>
      <w:r w:rsidRPr="00C86149">
        <w:rPr>
          <w:i/>
          <w:color w:val="000000"/>
        </w:rPr>
        <w:instrText>Wiggins v. Smith,</w:instrText>
      </w:r>
      <w:r w:rsidRPr="00C86149">
        <w:rPr>
          <w:color w:val="000000"/>
        </w:rPr>
        <w:instrText xml:space="preserve"> 539 U.S. 510, 524 (2003)</w:instrText>
      </w:r>
      <w:r w:rsidRPr="00C86149">
        <w:instrText xml:space="preserve">" \c 1 </w:instrText>
      </w:r>
      <w:r>
        <w:fldChar w:fldCharType="end"/>
      </w:r>
      <w:r w:rsidRPr="00276BDB">
        <w:rPr>
          <w:i/>
        </w:rPr>
        <w:t>Wiggins v. Smith,</w:t>
      </w:r>
      <w:r>
        <w:t xml:space="preserve"> 539 U.S. </w:t>
      </w:r>
      <w:r w:rsidRPr="00BF07C1">
        <w:t>510, 52</w:t>
      </w:r>
      <w:r>
        <w:t>4</w:t>
      </w:r>
      <w:r w:rsidRPr="00276BDB">
        <w:t xml:space="preserve"> (200</w:t>
      </w:r>
      <w:r w:rsidRPr="00C1181D">
        <w:t>3)</w:t>
      </w:r>
      <w:bookmarkEnd w:id="4"/>
      <w:r w:rsidRPr="00C1181D">
        <w:t>;</w:t>
      </w:r>
      <w:r w:rsidRPr="00C1181D">
        <w:rPr>
          <w:i/>
          <w:color w:val="000000"/>
        </w:rPr>
        <w:t xml:space="preserve"> </w:t>
      </w:r>
      <w:bookmarkStart w:id="5" w:name="dabmci_9a1509f19d9f482eae06ff6efd46b366"/>
      <w:r>
        <w:rPr>
          <w:i/>
          <w:color w:val="000000"/>
        </w:rPr>
        <w:fldChar w:fldCharType="begin"/>
      </w:r>
      <w:r w:rsidRPr="00C86149">
        <w:instrText xml:space="preserve"> TA \l "</w:instrText>
      </w:r>
      <w:r w:rsidRPr="00C86149">
        <w:rPr>
          <w:i/>
          <w:color w:val="000000"/>
        </w:rPr>
        <w:instrText>Williams v. Taylor</w:instrText>
      </w:r>
      <w:r w:rsidRPr="00C86149">
        <w:rPr>
          <w:color w:val="000000"/>
        </w:rPr>
        <w:instrText>, 529 U.S. 362 (2000)</w:instrText>
      </w:r>
      <w:r w:rsidRPr="00C86149">
        <w:instrText>" \s "A;O;18;dabmci_9a1509f19d9f482eae06ff6efd46b366_5;I6b3356fc9c2511d9bc61beebb95be672;;0;F;</w:instrText>
      </w:r>
      <w:r w:rsidRPr="00C86149">
        <w:rPr>
          <w:i/>
          <w:color w:val="000000"/>
        </w:rPr>
        <w:instrText>Williams v. Taylor</w:instrText>
      </w:r>
      <w:r w:rsidRPr="00C86149">
        <w:rPr>
          <w:color w:val="000000"/>
        </w:rPr>
        <w:instrText>, 529 U.S. 362, 396 (2000)</w:instrText>
      </w:r>
      <w:r w:rsidRPr="00C86149">
        <w:instrText xml:space="preserve">" \c 1 </w:instrText>
      </w:r>
      <w:r>
        <w:rPr>
          <w:i/>
          <w:color w:val="000000"/>
        </w:rPr>
        <w:fldChar w:fldCharType="end"/>
      </w:r>
      <w:r w:rsidRPr="0050632F">
        <w:rPr>
          <w:i/>
          <w:color w:val="000000"/>
        </w:rPr>
        <w:t>Williams v. Taylor</w:t>
      </w:r>
      <w:r w:rsidRPr="0050632F">
        <w:rPr>
          <w:color w:val="000000"/>
        </w:rPr>
        <w:t xml:space="preserve">, 529 U.S. 362, </w:t>
      </w:r>
      <w:r>
        <w:rPr>
          <w:color w:val="000000"/>
        </w:rPr>
        <w:t xml:space="preserve">396 </w:t>
      </w:r>
      <w:r w:rsidRPr="0050632F">
        <w:rPr>
          <w:color w:val="000000"/>
        </w:rPr>
        <w:t>(2000)</w:t>
      </w:r>
      <w:bookmarkEnd w:id="5"/>
      <w:r>
        <w:rPr>
          <w:color w:val="000000"/>
        </w:rPr>
        <w:t xml:space="preserve">; </w:t>
      </w:r>
      <w:bookmarkStart w:id="6" w:name="dabmci_556fcfd132a04c9283fa1c7905d861d0"/>
      <w:r>
        <w:rPr>
          <w:color w:val="000000"/>
        </w:rPr>
        <w:fldChar w:fldCharType="begin"/>
      </w:r>
      <w:r w:rsidRPr="00C86149">
        <w:instrText xml:space="preserve"> TA \l "</w:instrText>
      </w:r>
      <w:r w:rsidRPr="00C86149">
        <w:rPr>
          <w:i/>
          <w:color w:val="000000"/>
        </w:rPr>
        <w:instrText>Strickland v. Washingto</w:instrText>
      </w:r>
      <w:r w:rsidRPr="00C86149">
        <w:rPr>
          <w:color w:val="000000"/>
        </w:rPr>
        <w:instrText>n, 466 U.S. 668 (1984)</w:instrText>
      </w:r>
      <w:r w:rsidRPr="00C86149">
        <w:instrText>" \s "A;O;10;dabmci_556fcfd132a04c9283fa1c7905d861d0_17;I235b05aa9c1e11d9bdd1cfdd544ca3a4;dabmci_3b673d98f3894b06bfa46338dc18f845;3;F;</w:instrText>
      </w:r>
      <w:r w:rsidRPr="00C86149">
        <w:rPr>
          <w:i/>
          <w:color w:val="000000"/>
        </w:rPr>
        <w:instrText xml:space="preserve">Strickland, </w:instrText>
      </w:r>
      <w:r w:rsidRPr="00C86149">
        <w:rPr>
          <w:color w:val="000000"/>
        </w:rPr>
        <w:instrText>466 U.S. at 688</w:instrText>
      </w:r>
      <w:r w:rsidRPr="00C86149">
        <w:instrText xml:space="preserve">" \c 1 </w:instrText>
      </w:r>
      <w:r>
        <w:rPr>
          <w:color w:val="000000"/>
        </w:rPr>
        <w:fldChar w:fldCharType="end"/>
      </w:r>
      <w:r w:rsidRPr="0050632F">
        <w:rPr>
          <w:i/>
        </w:rPr>
        <w:t>Strickland</w:t>
      </w:r>
      <w:r>
        <w:rPr>
          <w:i/>
        </w:rPr>
        <w:t xml:space="preserve"> v. Washington</w:t>
      </w:r>
      <w:r w:rsidRPr="0050632F">
        <w:rPr>
          <w:i/>
        </w:rPr>
        <w:t xml:space="preserve">, </w:t>
      </w:r>
      <w:r w:rsidRPr="0050632F">
        <w:t>466 U.S.</w:t>
      </w:r>
      <w:r>
        <w:t xml:space="preserve"> 668, </w:t>
      </w:r>
      <w:r w:rsidRPr="0050632F">
        <w:t>688</w:t>
      </w:r>
      <w:bookmarkEnd w:id="6"/>
      <w:r>
        <w:t xml:space="preserve"> (1984).</w:t>
      </w:r>
    </w:p>
  </w:footnote>
  <w:footnote w:id="4">
    <w:p w14:paraId="3654907A" w14:textId="77777777" w:rsidR="00D0056D" w:rsidRPr="00081D2D" w:rsidRDefault="00D0056D" w:rsidP="009E4D0B">
      <w:pPr>
        <w:spacing w:line="240" w:lineRule="auto"/>
        <w:jc w:val="both"/>
        <w:rPr>
          <w:szCs w:val="24"/>
        </w:rPr>
      </w:pPr>
      <w:r>
        <w:rPr>
          <w:rStyle w:val="FootnoteReference"/>
        </w:rPr>
        <w:footnoteRef/>
      </w:r>
      <w:r>
        <w:t xml:space="preserve"> </w:t>
      </w:r>
      <w:r>
        <w:rPr>
          <w:szCs w:val="24"/>
        </w:rPr>
        <w:t xml:space="preserve">In Idaho, first degree murder and </w:t>
      </w:r>
      <w:proofErr w:type="gramStart"/>
      <w:r>
        <w:rPr>
          <w:szCs w:val="24"/>
        </w:rPr>
        <w:t>first degree</w:t>
      </w:r>
      <w:proofErr w:type="gramEnd"/>
      <w:r>
        <w:rPr>
          <w:szCs w:val="24"/>
        </w:rPr>
        <w:t xml:space="preserve"> kidnapping are punishable by death. </w:t>
      </w:r>
      <w:r>
        <w:rPr>
          <w:i/>
          <w:szCs w:val="24"/>
        </w:rPr>
        <w:t xml:space="preserve">See </w:t>
      </w:r>
      <w:r>
        <w:rPr>
          <w:szCs w:val="24"/>
        </w:rPr>
        <w:t>I.C. § 18-4004 (first degree murder penalties); I.C. § 18-4504(1) (first degree kidnapping penalties).</w:t>
      </w:r>
      <w:r w:rsidR="007949B4">
        <w:rPr>
          <w:szCs w:val="24"/>
        </w:rPr>
        <w:t xml:space="preserve"> Willful perjury or subornation of perjury that results in the conviction and execution of an innocent person is also punishable by death in Idaho. </w:t>
      </w:r>
      <w:r w:rsidR="005A3B61">
        <w:rPr>
          <w:szCs w:val="24"/>
        </w:rPr>
        <w:t>I.C. § 18-5411.</w:t>
      </w:r>
      <w:r>
        <w:rPr>
          <w:szCs w:val="24"/>
        </w:rPr>
        <w:t xml:space="preserve"> The constituti</w:t>
      </w:r>
      <w:r w:rsidR="005A3B61">
        <w:rPr>
          <w:szCs w:val="24"/>
        </w:rPr>
        <w:t xml:space="preserve">onality of the death penalty as punishment for a crime that does not result in death is questionable. </w:t>
      </w:r>
      <w:r w:rsidR="005A3B61">
        <w:rPr>
          <w:i/>
          <w:szCs w:val="24"/>
        </w:rPr>
        <w:t xml:space="preserve">See Kennedy v. Louisiana, </w:t>
      </w:r>
      <w:r w:rsidR="005A3B61">
        <w:rPr>
          <w:szCs w:val="24"/>
        </w:rPr>
        <w:t>554 U.S. 407 (2008).</w:t>
      </w:r>
    </w:p>
  </w:footnote>
  <w:footnote w:id="5">
    <w:p w14:paraId="65375A41" w14:textId="77777777" w:rsidR="00834FC6" w:rsidRDefault="00834FC6">
      <w:pPr>
        <w:pStyle w:val="FootnoteText"/>
      </w:pPr>
      <w:r>
        <w:rPr>
          <w:rStyle w:val="FootnoteReference"/>
        </w:rPr>
        <w:footnoteRef/>
      </w:r>
      <w:r>
        <w:t xml:space="preserve"> This includes significant resources devoted to the defense investigation of the charged offense.</w:t>
      </w:r>
    </w:p>
  </w:footnote>
  <w:footnote w:id="6">
    <w:p w14:paraId="178E69D3" w14:textId="77777777" w:rsidR="00D0056D" w:rsidRPr="00B81CC2" w:rsidRDefault="00D0056D" w:rsidP="00A92422">
      <w:pPr>
        <w:pStyle w:val="FootnoteText"/>
      </w:pPr>
      <w:r w:rsidRPr="002A3421">
        <w:rPr>
          <w:rStyle w:val="FootnoteReference"/>
          <w:szCs w:val="24"/>
        </w:rPr>
        <w:footnoteRef/>
      </w:r>
      <w:r w:rsidRPr="002A3421">
        <w:t xml:space="preserve"> </w:t>
      </w:r>
      <w:r>
        <w:t>Generally, w</w:t>
      </w:r>
      <w:r w:rsidRPr="002A3421">
        <w:t xml:space="preserve">ithin 30 days </w:t>
      </w:r>
      <w:r>
        <w:t>of the filing of</w:t>
      </w:r>
      <w:r w:rsidRPr="002A3421">
        <w:t xml:space="preserve"> an</w:t>
      </w:r>
      <w:r>
        <w:t xml:space="preserve"> indictment or information alleging</w:t>
      </w:r>
      <w:r w:rsidR="001722F0">
        <w:t xml:space="preserve"> a death-eligible offense </w:t>
      </w:r>
      <w:r>
        <w:t xml:space="preserve">in district court, a defendant must be arraigned and enter a plea of guilty or not guilty. </w:t>
      </w:r>
      <w:r>
        <w:rPr>
          <w:i/>
        </w:rPr>
        <w:t xml:space="preserve">See </w:t>
      </w:r>
      <w:r>
        <w:t xml:space="preserve">Idaho Criminal Rule 10. A prosecutor has 60 days from the entry of plea in a </w:t>
      </w:r>
      <w:proofErr w:type="gramStart"/>
      <w:r>
        <w:t>first degree</w:t>
      </w:r>
      <w:proofErr w:type="gramEnd"/>
      <w:r>
        <w:t xml:space="preserve"> murder case, and 30 days from the entry of plea in a first degree kidnapping case, to file a notice of intent to seek death. </w:t>
      </w:r>
      <w:r>
        <w:rPr>
          <w:i/>
        </w:rPr>
        <w:t xml:space="preserve">See </w:t>
      </w:r>
      <w:r>
        <w:t xml:space="preserve">I.C. § 18-4004A; I.C. §18-4504A.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4394" w14:textId="77777777" w:rsidR="00DB594A" w:rsidRDefault="00DB594A" w:rsidP="00DB594A">
    <w:pPr>
      <w:pStyle w:val="Header"/>
      <w:jc w:val="center"/>
    </w:pPr>
    <w:r>
      <w:rPr>
        <w:noProof/>
      </w:rPr>
      <w:drawing>
        <wp:inline distT="0" distB="0" distL="0" distR="0" wp14:anchorId="2629005C" wp14:editId="0DFF8EF5">
          <wp:extent cx="829310" cy="83248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stretch>
                    <a:fillRect/>
                  </a:stretch>
                </pic:blipFill>
                <pic:spPr>
                  <a:xfrm>
                    <a:off x="0" y="0"/>
                    <a:ext cx="829310" cy="832485"/>
                  </a:xfrm>
                  <a:prstGeom prst="rect">
                    <a:avLst/>
                  </a:prstGeom>
                </pic:spPr>
              </pic:pic>
            </a:graphicData>
          </a:graphic>
        </wp:inline>
      </w:drawing>
    </w:r>
  </w:p>
  <w:p w14:paraId="06B471B8" w14:textId="77777777" w:rsidR="00DB594A" w:rsidRPr="00DB594A" w:rsidRDefault="00DB594A" w:rsidP="00DB594A">
    <w:pPr>
      <w:pStyle w:val="Header"/>
      <w:jc w:val="center"/>
      <w:rPr>
        <w:sz w:val="16"/>
        <w:szCs w:val="16"/>
      </w:rPr>
    </w:pPr>
  </w:p>
  <w:p w14:paraId="537B4801" w14:textId="77777777" w:rsidR="00DB594A" w:rsidRDefault="00DB594A" w:rsidP="00DB594A">
    <w:pPr>
      <w:spacing w:line="240" w:lineRule="auto"/>
      <w:jc w:val="center"/>
      <w:textAlignment w:val="baseline"/>
      <w:rPr>
        <w:rFonts w:ascii="Arial" w:eastAsia="Arial" w:hAnsi="Arial"/>
        <w:b/>
        <w:color w:val="2C479A"/>
        <w:spacing w:val="-5"/>
        <w:sz w:val="27"/>
      </w:rPr>
    </w:pPr>
    <w:r>
      <w:rPr>
        <w:rFonts w:ascii="Arial" w:eastAsia="Arial" w:hAnsi="Arial"/>
        <w:b/>
        <w:color w:val="2C479A"/>
        <w:spacing w:val="-5"/>
        <w:sz w:val="27"/>
      </w:rPr>
      <w:t>STATE OF IDAHO</w:t>
    </w:r>
  </w:p>
  <w:p w14:paraId="3B8635FD" w14:textId="77777777" w:rsidR="00DB594A" w:rsidRPr="005E2B36" w:rsidRDefault="00DB594A" w:rsidP="00DB594A">
    <w:pPr>
      <w:spacing w:line="240" w:lineRule="auto"/>
      <w:jc w:val="center"/>
      <w:textAlignment w:val="baseline"/>
      <w:rPr>
        <w:rFonts w:ascii="Arial" w:eastAsia="Arial" w:hAnsi="Arial"/>
        <w:b/>
        <w:color w:val="2C479A"/>
        <w:spacing w:val="-5"/>
        <w:sz w:val="10"/>
        <w:szCs w:val="10"/>
      </w:rPr>
    </w:pPr>
  </w:p>
  <w:p w14:paraId="26D20CC5" w14:textId="77777777" w:rsidR="00DB594A" w:rsidRDefault="00DB594A" w:rsidP="00DB594A">
    <w:pPr>
      <w:spacing w:line="240" w:lineRule="auto"/>
      <w:jc w:val="center"/>
      <w:textAlignment w:val="baseline"/>
      <w:rPr>
        <w:rFonts w:ascii="Arial" w:eastAsia="Arial" w:hAnsi="Arial"/>
        <w:b/>
        <w:color w:val="2C479A"/>
        <w:spacing w:val="-7"/>
      </w:rPr>
    </w:pPr>
    <w:r>
      <w:rPr>
        <w:rFonts w:ascii="Arial" w:eastAsia="Arial" w:hAnsi="Arial"/>
        <w:b/>
        <w:color w:val="2C479A"/>
        <w:spacing w:val="-7"/>
      </w:rPr>
      <w:t>OFFICE OF THE STATE APPELLATE PUBLIC DEFENDER</w:t>
    </w:r>
  </w:p>
  <w:p w14:paraId="63409D95" w14:textId="77777777" w:rsidR="00DB594A" w:rsidRPr="005E2B36" w:rsidRDefault="00DB594A" w:rsidP="00DB594A">
    <w:pPr>
      <w:spacing w:line="240" w:lineRule="auto"/>
      <w:jc w:val="center"/>
      <w:textAlignment w:val="baseline"/>
      <w:rPr>
        <w:rFonts w:ascii="Arial" w:eastAsia="Arial" w:hAnsi="Arial"/>
        <w:b/>
        <w:i/>
        <w:color w:val="2C479A"/>
        <w:spacing w:val="-3"/>
        <w:sz w:val="17"/>
      </w:rPr>
    </w:pPr>
    <w:r>
      <w:rPr>
        <w:rFonts w:ascii="Arial" w:eastAsia="Arial" w:hAnsi="Arial"/>
        <w:b/>
        <w:i/>
        <w:color w:val="2C479A"/>
        <w:spacing w:val="-3"/>
        <w:sz w:val="17"/>
      </w:rPr>
      <w:t>Defending Zealously, Advancing Fairness, and Advocating with Integrity.</w:t>
    </w:r>
  </w:p>
  <w:p w14:paraId="40EA49ED" w14:textId="77777777" w:rsidR="00DB594A" w:rsidRDefault="00DB594A" w:rsidP="00DB59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C6661"/>
    <w:multiLevelType w:val="hybridMultilevel"/>
    <w:tmpl w:val="A68CE82C"/>
    <w:lvl w:ilvl="0" w:tplc="78E4412C">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4A"/>
    <w:rsid w:val="00050FBF"/>
    <w:rsid w:val="00072716"/>
    <w:rsid w:val="00121F0B"/>
    <w:rsid w:val="001722F0"/>
    <w:rsid w:val="00230447"/>
    <w:rsid w:val="002336F4"/>
    <w:rsid w:val="00265FA9"/>
    <w:rsid w:val="00273C3D"/>
    <w:rsid w:val="00285B02"/>
    <w:rsid w:val="002A6E88"/>
    <w:rsid w:val="002C0762"/>
    <w:rsid w:val="00332C95"/>
    <w:rsid w:val="00353025"/>
    <w:rsid w:val="00356264"/>
    <w:rsid w:val="00387181"/>
    <w:rsid w:val="003C311A"/>
    <w:rsid w:val="00407F0D"/>
    <w:rsid w:val="00437CC5"/>
    <w:rsid w:val="00456917"/>
    <w:rsid w:val="00457F7C"/>
    <w:rsid w:val="00464740"/>
    <w:rsid w:val="004E18D0"/>
    <w:rsid w:val="00530925"/>
    <w:rsid w:val="005352B7"/>
    <w:rsid w:val="005440A4"/>
    <w:rsid w:val="00555ACB"/>
    <w:rsid w:val="005A3B61"/>
    <w:rsid w:val="005C4026"/>
    <w:rsid w:val="00606E8A"/>
    <w:rsid w:val="00617149"/>
    <w:rsid w:val="006213B8"/>
    <w:rsid w:val="006E040D"/>
    <w:rsid w:val="006F646C"/>
    <w:rsid w:val="006F7514"/>
    <w:rsid w:val="007105AE"/>
    <w:rsid w:val="00775680"/>
    <w:rsid w:val="007949B4"/>
    <w:rsid w:val="007A4134"/>
    <w:rsid w:val="00806F96"/>
    <w:rsid w:val="00812388"/>
    <w:rsid w:val="00834FC6"/>
    <w:rsid w:val="008B60AE"/>
    <w:rsid w:val="009629E5"/>
    <w:rsid w:val="00983247"/>
    <w:rsid w:val="009C084C"/>
    <w:rsid w:val="009E4D0B"/>
    <w:rsid w:val="00A42DF4"/>
    <w:rsid w:val="00A92422"/>
    <w:rsid w:val="00B05E7D"/>
    <w:rsid w:val="00B15B83"/>
    <w:rsid w:val="00B62DFD"/>
    <w:rsid w:val="00B66873"/>
    <w:rsid w:val="00BD21DF"/>
    <w:rsid w:val="00C461A7"/>
    <w:rsid w:val="00C601D9"/>
    <w:rsid w:val="00CE6C61"/>
    <w:rsid w:val="00D0056D"/>
    <w:rsid w:val="00D54C5A"/>
    <w:rsid w:val="00D564A1"/>
    <w:rsid w:val="00DA7077"/>
    <w:rsid w:val="00DB2183"/>
    <w:rsid w:val="00DB594A"/>
    <w:rsid w:val="00DD286D"/>
    <w:rsid w:val="00E27304"/>
    <w:rsid w:val="00E522FE"/>
    <w:rsid w:val="00E60739"/>
    <w:rsid w:val="00E74706"/>
    <w:rsid w:val="00E93B83"/>
    <w:rsid w:val="00ED5496"/>
    <w:rsid w:val="00F27FE9"/>
    <w:rsid w:val="00F34C5D"/>
    <w:rsid w:val="00F67A59"/>
    <w:rsid w:val="00FE0A91"/>
    <w:rsid w:val="00FF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AA277"/>
  <w15:chartTrackingRefBased/>
  <w15:docId w15:val="{B58B02D9-9231-4B54-B41D-864FBEAF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422"/>
    <w:pPr>
      <w:spacing w:after="0" w:line="360" w:lineRule="auto"/>
      <w:contextualSpacing/>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94A"/>
    <w:pPr>
      <w:tabs>
        <w:tab w:val="center" w:pos="4680"/>
        <w:tab w:val="right" w:pos="9360"/>
      </w:tabs>
      <w:spacing w:line="240" w:lineRule="auto"/>
    </w:pPr>
  </w:style>
  <w:style w:type="character" w:customStyle="1" w:styleId="HeaderChar">
    <w:name w:val="Header Char"/>
    <w:basedOn w:val="DefaultParagraphFont"/>
    <w:link w:val="Header"/>
    <w:uiPriority w:val="99"/>
    <w:rsid w:val="00DB594A"/>
  </w:style>
  <w:style w:type="paragraph" w:styleId="Footer">
    <w:name w:val="footer"/>
    <w:basedOn w:val="Normal"/>
    <w:link w:val="FooterChar"/>
    <w:uiPriority w:val="99"/>
    <w:unhideWhenUsed/>
    <w:rsid w:val="00DB594A"/>
    <w:pPr>
      <w:tabs>
        <w:tab w:val="center" w:pos="4680"/>
        <w:tab w:val="right" w:pos="9360"/>
      </w:tabs>
      <w:spacing w:line="240" w:lineRule="auto"/>
    </w:pPr>
  </w:style>
  <w:style w:type="character" w:customStyle="1" w:styleId="FooterChar">
    <w:name w:val="Footer Char"/>
    <w:basedOn w:val="DefaultParagraphFont"/>
    <w:link w:val="Footer"/>
    <w:uiPriority w:val="99"/>
    <w:rsid w:val="00DB594A"/>
  </w:style>
  <w:style w:type="paragraph" w:styleId="FootnoteText">
    <w:name w:val="footnote text"/>
    <w:aliases w:val="footnote"/>
    <w:basedOn w:val="Normal"/>
    <w:link w:val="FootnoteTextChar"/>
    <w:autoRedefine/>
    <w:uiPriority w:val="99"/>
    <w:unhideWhenUsed/>
    <w:qFormat/>
    <w:rsid w:val="00B15B83"/>
    <w:pPr>
      <w:spacing w:line="240" w:lineRule="auto"/>
      <w:jc w:val="both"/>
    </w:pPr>
    <w:rPr>
      <w:rFonts w:eastAsiaTheme="minorHAnsi"/>
    </w:rPr>
  </w:style>
  <w:style w:type="character" w:customStyle="1" w:styleId="FootnoteTextChar">
    <w:name w:val="Footnote Text Char"/>
    <w:aliases w:val="footnote Char"/>
    <w:basedOn w:val="DefaultParagraphFont"/>
    <w:link w:val="FootnoteText"/>
    <w:uiPriority w:val="99"/>
    <w:rsid w:val="00B15B83"/>
    <w:rPr>
      <w:rFonts w:ascii="Times New Roman" w:hAnsi="Times New Roman"/>
      <w:sz w:val="24"/>
    </w:rPr>
  </w:style>
  <w:style w:type="character" w:customStyle="1" w:styleId="ListParagraphChar">
    <w:name w:val="List Paragraph Char"/>
    <w:basedOn w:val="DefaultParagraphFont"/>
    <w:link w:val="ListParagraph"/>
    <w:uiPriority w:val="34"/>
    <w:locked/>
    <w:rsid w:val="00E27304"/>
    <w:rPr>
      <w:rFonts w:ascii="Times New Roman" w:eastAsiaTheme="minorEastAsia" w:hAnsi="Times New Roman" w:cs="Times New Roman"/>
      <w:sz w:val="24"/>
    </w:rPr>
  </w:style>
  <w:style w:type="paragraph" w:styleId="ListParagraph">
    <w:name w:val="List Paragraph"/>
    <w:basedOn w:val="Normal"/>
    <w:link w:val="ListParagraphChar"/>
    <w:uiPriority w:val="34"/>
    <w:qFormat/>
    <w:rsid w:val="00E27304"/>
    <w:pPr>
      <w:ind w:left="720"/>
    </w:pPr>
    <w:rPr>
      <w:rFonts w:cs="Times New Roman"/>
    </w:rPr>
  </w:style>
  <w:style w:type="character" w:styleId="FootnoteReference">
    <w:name w:val="footnote reference"/>
    <w:basedOn w:val="DefaultParagraphFont"/>
    <w:uiPriority w:val="99"/>
    <w:unhideWhenUsed/>
    <w:qFormat/>
    <w:rsid w:val="00E27304"/>
    <w:rPr>
      <w:vertAlign w:val="superscript"/>
    </w:rPr>
  </w:style>
  <w:style w:type="character" w:styleId="Hyperlink">
    <w:name w:val="Hyperlink"/>
    <w:basedOn w:val="DefaultParagraphFont"/>
    <w:uiPriority w:val="99"/>
    <w:unhideWhenUsed/>
    <w:rsid w:val="00E273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BDD61-75E2-4C91-9D07-353FC18E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1175</Words>
  <Characters>6700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Murray</dc:creator>
  <cp:keywords/>
  <dc:description/>
  <cp:lastModifiedBy>Tammy Zokan</cp:lastModifiedBy>
  <cp:revision>2</cp:revision>
  <cp:lastPrinted>2018-11-27T17:00:00Z</cp:lastPrinted>
  <dcterms:created xsi:type="dcterms:W3CDTF">2022-02-22T19:52:00Z</dcterms:created>
  <dcterms:modified xsi:type="dcterms:W3CDTF">2022-02-22T19:52:00Z</dcterms:modified>
</cp:coreProperties>
</file>